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DB00C" w14:textId="77777777" w:rsidR="008768F4" w:rsidRDefault="00085DF4" w:rsidP="002D1194">
      <w:pPr>
        <w:pStyle w:val="Heading1"/>
        <w:spacing w:before="0" w:line="240" w:lineRule="auto"/>
        <w:rPr>
          <w:b/>
          <w:sz w:val="36"/>
          <w:szCs w:val="36"/>
        </w:rPr>
      </w:pPr>
      <w:bookmarkStart w:id="0" w:name="_qk6ydystgxtf" w:colFirst="0" w:colLast="0"/>
      <w:bookmarkEnd w:id="0"/>
      <w:r>
        <w:rPr>
          <w:b/>
          <w:sz w:val="36"/>
          <w:szCs w:val="36"/>
        </w:rPr>
        <w:t>Why you should not buy a holiday let if you intend to stay in it</w:t>
      </w:r>
    </w:p>
    <w:p w14:paraId="373785CA" w14:textId="77777777" w:rsidR="008768F4" w:rsidRDefault="00085DF4" w:rsidP="002D1194">
      <w:pPr>
        <w:rPr>
          <w:sz w:val="21"/>
          <w:szCs w:val="21"/>
        </w:rPr>
      </w:pPr>
      <w:r>
        <w:rPr>
          <w:sz w:val="21"/>
          <w:szCs w:val="21"/>
        </w:rPr>
        <w:t xml:space="preserve">Holiday lets are a great investment and offer several benefits including Capital Gains Tax relief and capital allowances for furniture and fixtures. However, there are strict letting conditions, and if you intend to stay in the property for part of the year, this could mean that the property no longer qualifies as a holiday let. </w:t>
      </w:r>
    </w:p>
    <w:p w14:paraId="68147085" w14:textId="77777777" w:rsidR="008768F4" w:rsidRDefault="008768F4" w:rsidP="002D1194">
      <w:pPr>
        <w:rPr>
          <w:sz w:val="21"/>
          <w:szCs w:val="21"/>
        </w:rPr>
      </w:pPr>
    </w:p>
    <w:p w14:paraId="732D8BDC" w14:textId="77777777" w:rsidR="008768F4" w:rsidRDefault="00085DF4" w:rsidP="002D1194">
      <w:pPr>
        <w:rPr>
          <w:sz w:val="21"/>
          <w:szCs w:val="21"/>
        </w:rPr>
      </w:pPr>
      <w:r>
        <w:rPr>
          <w:sz w:val="21"/>
          <w:szCs w:val="21"/>
        </w:rPr>
        <w:t xml:space="preserve">Let’s take a look at some taxes that might become payable by staying in your holiday let. These do not apply if you do not stay in the property. </w:t>
      </w:r>
    </w:p>
    <w:p w14:paraId="355B6631" w14:textId="77777777" w:rsidR="008768F4" w:rsidRPr="00B57760" w:rsidRDefault="00085DF4" w:rsidP="00B57760">
      <w:pPr>
        <w:pStyle w:val="Heading2"/>
        <w:spacing w:before="120"/>
        <w:rPr>
          <w:b/>
          <w:bCs/>
          <w:sz w:val="28"/>
          <w:szCs w:val="28"/>
        </w:rPr>
      </w:pPr>
      <w:bookmarkStart w:id="1" w:name="_aerj2h9a6vr6" w:colFirst="0" w:colLast="0"/>
      <w:bookmarkEnd w:id="1"/>
      <w:r w:rsidRPr="00B57760">
        <w:rPr>
          <w:b/>
          <w:bCs/>
          <w:sz w:val="28"/>
          <w:szCs w:val="28"/>
        </w:rPr>
        <w:t>ATED</w:t>
      </w:r>
    </w:p>
    <w:p w14:paraId="0E6C359A" w14:textId="77777777" w:rsidR="008768F4" w:rsidRDefault="00085DF4" w:rsidP="002D1194">
      <w:pPr>
        <w:rPr>
          <w:sz w:val="21"/>
          <w:szCs w:val="21"/>
        </w:rPr>
      </w:pPr>
      <w:r>
        <w:rPr>
          <w:sz w:val="21"/>
          <w:szCs w:val="21"/>
        </w:rPr>
        <w:t>Annual Tax on Enveloped Dwellings (ATED) is a tax that companies must pay if their UK residential property value exceeds £500,000. The tax is payable by companies that own such a dwelling and the amount of tax payable depends on the property’s value.</w:t>
      </w:r>
    </w:p>
    <w:p w14:paraId="68511994" w14:textId="77777777" w:rsidR="008768F4" w:rsidRDefault="008768F4" w:rsidP="002D1194">
      <w:pPr>
        <w:rPr>
          <w:sz w:val="21"/>
          <w:szCs w:val="21"/>
        </w:rPr>
      </w:pPr>
    </w:p>
    <w:p w14:paraId="0A4F2B4B" w14:textId="77777777" w:rsidR="008768F4" w:rsidRDefault="00085DF4" w:rsidP="002D1194">
      <w:pPr>
        <w:rPr>
          <w:sz w:val="21"/>
          <w:szCs w:val="21"/>
        </w:rPr>
      </w:pPr>
      <w:r>
        <w:rPr>
          <w:sz w:val="21"/>
          <w:szCs w:val="21"/>
        </w:rPr>
        <w:t xml:space="preserve">You will need to complete an annual ATED return if the property is  located in the UK, is considered a ‘dwelling’ (a sufficiently self-contained unit), is valued at more than £500,000 and is owned completely or partly by a company, partnership or collective investment scheme. </w:t>
      </w:r>
    </w:p>
    <w:p w14:paraId="1A3C9EA3" w14:textId="77777777" w:rsidR="008768F4" w:rsidRDefault="008768F4" w:rsidP="002D1194">
      <w:pPr>
        <w:rPr>
          <w:sz w:val="21"/>
          <w:szCs w:val="21"/>
        </w:rPr>
      </w:pPr>
    </w:p>
    <w:p w14:paraId="229E8425" w14:textId="548FEBE8" w:rsidR="008768F4" w:rsidRDefault="00085DF4" w:rsidP="002D1194">
      <w:pPr>
        <w:rPr>
          <w:sz w:val="21"/>
          <w:szCs w:val="21"/>
        </w:rPr>
      </w:pPr>
      <w:r>
        <w:rPr>
          <w:sz w:val="21"/>
          <w:szCs w:val="21"/>
        </w:rPr>
        <w:t>The chargeable amounts for the 202</w:t>
      </w:r>
      <w:r w:rsidR="00493861">
        <w:rPr>
          <w:sz w:val="21"/>
          <w:szCs w:val="21"/>
        </w:rPr>
        <w:t>5</w:t>
      </w:r>
      <w:r>
        <w:rPr>
          <w:sz w:val="21"/>
          <w:szCs w:val="21"/>
        </w:rPr>
        <w:t>/2</w:t>
      </w:r>
      <w:r w:rsidR="00493861">
        <w:rPr>
          <w:sz w:val="21"/>
          <w:szCs w:val="21"/>
        </w:rPr>
        <w:t>6</w:t>
      </w:r>
      <w:r>
        <w:rPr>
          <w:sz w:val="21"/>
          <w:szCs w:val="21"/>
        </w:rPr>
        <w:t xml:space="preserve"> tax year are as follows:</w:t>
      </w:r>
    </w:p>
    <w:tbl>
      <w:tblPr>
        <w:tblStyle w:val="a"/>
        <w:tblW w:w="4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1770"/>
      </w:tblGrid>
      <w:tr w:rsidR="008768F4" w14:paraId="3C407E2A" w14:textId="77777777">
        <w:tc>
          <w:tcPr>
            <w:tcW w:w="2340" w:type="dxa"/>
            <w:shd w:val="clear" w:color="auto" w:fill="auto"/>
            <w:tcMar>
              <w:top w:w="100" w:type="dxa"/>
              <w:left w:w="100" w:type="dxa"/>
              <w:bottom w:w="100" w:type="dxa"/>
              <w:right w:w="100" w:type="dxa"/>
            </w:tcMar>
          </w:tcPr>
          <w:p w14:paraId="36404A5F" w14:textId="77777777" w:rsidR="008768F4" w:rsidRDefault="00085DF4" w:rsidP="002D1194">
            <w:pPr>
              <w:widowControl w:val="0"/>
              <w:pBdr>
                <w:top w:val="nil"/>
                <w:left w:val="nil"/>
                <w:bottom w:val="nil"/>
                <w:right w:val="nil"/>
                <w:between w:val="nil"/>
              </w:pBdr>
              <w:spacing w:line="240" w:lineRule="auto"/>
              <w:rPr>
                <w:b/>
                <w:sz w:val="18"/>
                <w:szCs w:val="18"/>
              </w:rPr>
            </w:pPr>
            <w:r>
              <w:rPr>
                <w:b/>
                <w:sz w:val="18"/>
                <w:szCs w:val="18"/>
              </w:rPr>
              <w:t>Property value</w:t>
            </w:r>
          </w:p>
        </w:tc>
        <w:tc>
          <w:tcPr>
            <w:tcW w:w="1770" w:type="dxa"/>
            <w:shd w:val="clear" w:color="auto" w:fill="auto"/>
            <w:tcMar>
              <w:top w:w="100" w:type="dxa"/>
              <w:left w:w="100" w:type="dxa"/>
              <w:bottom w:w="100" w:type="dxa"/>
              <w:right w:w="100" w:type="dxa"/>
            </w:tcMar>
          </w:tcPr>
          <w:p w14:paraId="5B71EA90" w14:textId="77777777" w:rsidR="008768F4" w:rsidRDefault="00085DF4" w:rsidP="002D1194">
            <w:pPr>
              <w:widowControl w:val="0"/>
              <w:pBdr>
                <w:top w:val="nil"/>
                <w:left w:val="nil"/>
                <w:bottom w:val="nil"/>
                <w:right w:val="nil"/>
                <w:between w:val="nil"/>
              </w:pBdr>
              <w:spacing w:line="240" w:lineRule="auto"/>
              <w:rPr>
                <w:b/>
                <w:sz w:val="18"/>
                <w:szCs w:val="18"/>
              </w:rPr>
            </w:pPr>
            <w:r>
              <w:rPr>
                <w:b/>
                <w:sz w:val="18"/>
                <w:szCs w:val="18"/>
              </w:rPr>
              <w:t>Yearly charge</w:t>
            </w:r>
          </w:p>
        </w:tc>
      </w:tr>
      <w:tr w:rsidR="008768F4" w14:paraId="07F17A48" w14:textId="77777777">
        <w:tc>
          <w:tcPr>
            <w:tcW w:w="2340" w:type="dxa"/>
            <w:shd w:val="clear" w:color="auto" w:fill="auto"/>
            <w:tcMar>
              <w:top w:w="100" w:type="dxa"/>
              <w:left w:w="100" w:type="dxa"/>
              <w:bottom w:w="100" w:type="dxa"/>
              <w:right w:w="100" w:type="dxa"/>
            </w:tcMar>
          </w:tcPr>
          <w:p w14:paraId="1134E1A9" w14:textId="77777777" w:rsidR="008768F4" w:rsidRDefault="00085DF4" w:rsidP="002D1194">
            <w:pPr>
              <w:widowControl w:val="0"/>
              <w:pBdr>
                <w:top w:val="nil"/>
                <w:left w:val="nil"/>
                <w:bottom w:val="nil"/>
                <w:right w:val="nil"/>
                <w:between w:val="nil"/>
              </w:pBdr>
              <w:spacing w:line="240" w:lineRule="auto"/>
              <w:rPr>
                <w:sz w:val="18"/>
                <w:szCs w:val="18"/>
              </w:rPr>
            </w:pPr>
            <w:r>
              <w:rPr>
                <w:sz w:val="18"/>
                <w:szCs w:val="18"/>
              </w:rPr>
              <w:t>£500,000 - £1 million</w:t>
            </w:r>
          </w:p>
        </w:tc>
        <w:tc>
          <w:tcPr>
            <w:tcW w:w="1770" w:type="dxa"/>
            <w:shd w:val="clear" w:color="auto" w:fill="auto"/>
            <w:tcMar>
              <w:top w:w="100" w:type="dxa"/>
              <w:left w:w="100" w:type="dxa"/>
              <w:bottom w:w="100" w:type="dxa"/>
              <w:right w:w="100" w:type="dxa"/>
            </w:tcMar>
          </w:tcPr>
          <w:p w14:paraId="34C1C00D" w14:textId="27F15688" w:rsidR="008768F4" w:rsidRDefault="00085DF4" w:rsidP="002D1194">
            <w:pPr>
              <w:widowControl w:val="0"/>
              <w:pBdr>
                <w:top w:val="nil"/>
                <w:left w:val="nil"/>
                <w:bottom w:val="nil"/>
                <w:right w:val="nil"/>
                <w:between w:val="nil"/>
              </w:pBdr>
              <w:spacing w:line="240" w:lineRule="auto"/>
              <w:rPr>
                <w:sz w:val="18"/>
                <w:szCs w:val="18"/>
              </w:rPr>
            </w:pPr>
            <w:r>
              <w:rPr>
                <w:sz w:val="18"/>
                <w:szCs w:val="18"/>
              </w:rPr>
              <w:t>£</w:t>
            </w:r>
            <w:r w:rsidR="00493861">
              <w:rPr>
                <w:sz w:val="18"/>
                <w:szCs w:val="18"/>
              </w:rPr>
              <w:t>4,450</w:t>
            </w:r>
          </w:p>
        </w:tc>
      </w:tr>
      <w:tr w:rsidR="008768F4" w14:paraId="29A908F0" w14:textId="77777777">
        <w:tc>
          <w:tcPr>
            <w:tcW w:w="2340" w:type="dxa"/>
            <w:shd w:val="clear" w:color="auto" w:fill="auto"/>
            <w:tcMar>
              <w:top w:w="100" w:type="dxa"/>
              <w:left w:w="100" w:type="dxa"/>
              <w:bottom w:w="100" w:type="dxa"/>
              <w:right w:w="100" w:type="dxa"/>
            </w:tcMar>
          </w:tcPr>
          <w:p w14:paraId="55ECE18A" w14:textId="77777777" w:rsidR="008768F4" w:rsidRDefault="00085DF4" w:rsidP="002D1194">
            <w:pPr>
              <w:widowControl w:val="0"/>
              <w:pBdr>
                <w:top w:val="nil"/>
                <w:left w:val="nil"/>
                <w:bottom w:val="nil"/>
                <w:right w:val="nil"/>
                <w:between w:val="nil"/>
              </w:pBdr>
              <w:spacing w:line="240" w:lineRule="auto"/>
              <w:rPr>
                <w:sz w:val="18"/>
                <w:szCs w:val="18"/>
              </w:rPr>
            </w:pPr>
            <w:r>
              <w:rPr>
                <w:sz w:val="18"/>
                <w:szCs w:val="18"/>
              </w:rPr>
              <w:t>£1 million - £2 million</w:t>
            </w:r>
          </w:p>
        </w:tc>
        <w:tc>
          <w:tcPr>
            <w:tcW w:w="1770" w:type="dxa"/>
            <w:shd w:val="clear" w:color="auto" w:fill="auto"/>
            <w:tcMar>
              <w:top w:w="100" w:type="dxa"/>
              <w:left w:w="100" w:type="dxa"/>
              <w:bottom w:w="100" w:type="dxa"/>
              <w:right w:w="100" w:type="dxa"/>
            </w:tcMar>
          </w:tcPr>
          <w:p w14:paraId="7B954C9C" w14:textId="7442274F" w:rsidR="008768F4" w:rsidRDefault="00085DF4" w:rsidP="002D1194">
            <w:pPr>
              <w:widowControl w:val="0"/>
              <w:pBdr>
                <w:top w:val="nil"/>
                <w:left w:val="nil"/>
                <w:bottom w:val="nil"/>
                <w:right w:val="nil"/>
                <w:between w:val="nil"/>
              </w:pBdr>
              <w:spacing w:line="240" w:lineRule="auto"/>
              <w:rPr>
                <w:sz w:val="18"/>
                <w:szCs w:val="18"/>
              </w:rPr>
            </w:pPr>
            <w:r>
              <w:rPr>
                <w:sz w:val="18"/>
                <w:szCs w:val="18"/>
              </w:rPr>
              <w:t>£</w:t>
            </w:r>
            <w:r w:rsidR="00493861">
              <w:rPr>
                <w:sz w:val="18"/>
                <w:szCs w:val="18"/>
              </w:rPr>
              <w:t>9,150</w:t>
            </w:r>
          </w:p>
        </w:tc>
      </w:tr>
      <w:tr w:rsidR="008768F4" w14:paraId="2BA79C9F" w14:textId="77777777">
        <w:tc>
          <w:tcPr>
            <w:tcW w:w="2340" w:type="dxa"/>
            <w:shd w:val="clear" w:color="auto" w:fill="auto"/>
            <w:tcMar>
              <w:top w:w="100" w:type="dxa"/>
              <w:left w:w="100" w:type="dxa"/>
              <w:bottom w:w="100" w:type="dxa"/>
              <w:right w:w="100" w:type="dxa"/>
            </w:tcMar>
          </w:tcPr>
          <w:p w14:paraId="54C8BA39" w14:textId="77777777" w:rsidR="008768F4" w:rsidRDefault="00085DF4" w:rsidP="002D1194">
            <w:pPr>
              <w:widowControl w:val="0"/>
              <w:spacing w:line="240" w:lineRule="auto"/>
              <w:rPr>
                <w:sz w:val="18"/>
                <w:szCs w:val="18"/>
              </w:rPr>
            </w:pPr>
            <w:r>
              <w:rPr>
                <w:sz w:val="18"/>
                <w:szCs w:val="18"/>
              </w:rPr>
              <w:t>£2 million - £5 million</w:t>
            </w:r>
          </w:p>
        </w:tc>
        <w:tc>
          <w:tcPr>
            <w:tcW w:w="1770" w:type="dxa"/>
            <w:shd w:val="clear" w:color="auto" w:fill="auto"/>
            <w:tcMar>
              <w:top w:w="100" w:type="dxa"/>
              <w:left w:w="100" w:type="dxa"/>
              <w:bottom w:w="100" w:type="dxa"/>
              <w:right w:w="100" w:type="dxa"/>
            </w:tcMar>
          </w:tcPr>
          <w:p w14:paraId="339D1126" w14:textId="499E8979" w:rsidR="008768F4" w:rsidRDefault="00085DF4" w:rsidP="002D1194">
            <w:pPr>
              <w:widowControl w:val="0"/>
              <w:pBdr>
                <w:top w:val="nil"/>
                <w:left w:val="nil"/>
                <w:bottom w:val="nil"/>
                <w:right w:val="nil"/>
                <w:between w:val="nil"/>
              </w:pBdr>
              <w:spacing w:line="240" w:lineRule="auto"/>
              <w:rPr>
                <w:sz w:val="18"/>
                <w:szCs w:val="18"/>
              </w:rPr>
            </w:pPr>
            <w:r>
              <w:rPr>
                <w:sz w:val="18"/>
                <w:szCs w:val="18"/>
              </w:rPr>
              <w:t>£</w:t>
            </w:r>
            <w:r w:rsidR="00496FBE">
              <w:rPr>
                <w:sz w:val="18"/>
                <w:szCs w:val="18"/>
              </w:rPr>
              <w:t>31</w:t>
            </w:r>
            <w:r>
              <w:rPr>
                <w:sz w:val="18"/>
                <w:szCs w:val="18"/>
              </w:rPr>
              <w:t>,050</w:t>
            </w:r>
          </w:p>
        </w:tc>
      </w:tr>
      <w:tr w:rsidR="008768F4" w14:paraId="533692FD" w14:textId="77777777">
        <w:tc>
          <w:tcPr>
            <w:tcW w:w="2340" w:type="dxa"/>
            <w:shd w:val="clear" w:color="auto" w:fill="auto"/>
            <w:tcMar>
              <w:top w:w="100" w:type="dxa"/>
              <w:left w:w="100" w:type="dxa"/>
              <w:bottom w:w="100" w:type="dxa"/>
              <w:right w:w="100" w:type="dxa"/>
            </w:tcMar>
          </w:tcPr>
          <w:p w14:paraId="583053FB" w14:textId="77777777" w:rsidR="008768F4" w:rsidRDefault="00085DF4" w:rsidP="002D1194">
            <w:pPr>
              <w:widowControl w:val="0"/>
              <w:pBdr>
                <w:top w:val="nil"/>
                <w:left w:val="nil"/>
                <w:bottom w:val="nil"/>
                <w:right w:val="nil"/>
                <w:between w:val="nil"/>
              </w:pBdr>
              <w:spacing w:line="240" w:lineRule="auto"/>
              <w:rPr>
                <w:sz w:val="18"/>
                <w:szCs w:val="18"/>
              </w:rPr>
            </w:pPr>
            <w:r>
              <w:rPr>
                <w:sz w:val="18"/>
                <w:szCs w:val="18"/>
              </w:rPr>
              <w:t>£5 million - £10 million</w:t>
            </w:r>
          </w:p>
        </w:tc>
        <w:tc>
          <w:tcPr>
            <w:tcW w:w="1770" w:type="dxa"/>
            <w:shd w:val="clear" w:color="auto" w:fill="auto"/>
            <w:tcMar>
              <w:top w:w="100" w:type="dxa"/>
              <w:left w:w="100" w:type="dxa"/>
              <w:bottom w:w="100" w:type="dxa"/>
              <w:right w:w="100" w:type="dxa"/>
            </w:tcMar>
          </w:tcPr>
          <w:p w14:paraId="5112A451" w14:textId="52EFF8CB" w:rsidR="008768F4" w:rsidRDefault="00085DF4" w:rsidP="002D1194">
            <w:pPr>
              <w:widowControl w:val="0"/>
              <w:pBdr>
                <w:top w:val="nil"/>
                <w:left w:val="nil"/>
                <w:bottom w:val="nil"/>
                <w:right w:val="nil"/>
                <w:between w:val="nil"/>
              </w:pBdr>
              <w:spacing w:line="240" w:lineRule="auto"/>
              <w:rPr>
                <w:sz w:val="18"/>
                <w:szCs w:val="18"/>
              </w:rPr>
            </w:pPr>
            <w:r>
              <w:rPr>
                <w:sz w:val="18"/>
                <w:szCs w:val="18"/>
              </w:rPr>
              <w:t>£</w:t>
            </w:r>
            <w:r w:rsidR="00496FBE">
              <w:rPr>
                <w:sz w:val="18"/>
                <w:szCs w:val="18"/>
              </w:rPr>
              <w:t>72</w:t>
            </w:r>
            <w:r>
              <w:rPr>
                <w:sz w:val="18"/>
                <w:szCs w:val="18"/>
              </w:rPr>
              <w:t>,</w:t>
            </w:r>
            <w:r w:rsidR="00496FBE">
              <w:rPr>
                <w:sz w:val="18"/>
                <w:szCs w:val="18"/>
              </w:rPr>
              <w:t>7</w:t>
            </w:r>
            <w:r>
              <w:rPr>
                <w:sz w:val="18"/>
                <w:szCs w:val="18"/>
              </w:rPr>
              <w:t>00</w:t>
            </w:r>
          </w:p>
        </w:tc>
      </w:tr>
      <w:tr w:rsidR="008768F4" w14:paraId="4EA26697" w14:textId="77777777">
        <w:tc>
          <w:tcPr>
            <w:tcW w:w="2340" w:type="dxa"/>
            <w:shd w:val="clear" w:color="auto" w:fill="auto"/>
            <w:tcMar>
              <w:top w:w="100" w:type="dxa"/>
              <w:left w:w="100" w:type="dxa"/>
              <w:bottom w:w="100" w:type="dxa"/>
              <w:right w:w="100" w:type="dxa"/>
            </w:tcMar>
          </w:tcPr>
          <w:p w14:paraId="6FB1CC66" w14:textId="77777777" w:rsidR="008768F4" w:rsidRDefault="00085DF4" w:rsidP="002D1194">
            <w:pPr>
              <w:widowControl w:val="0"/>
              <w:pBdr>
                <w:top w:val="nil"/>
                <w:left w:val="nil"/>
                <w:bottom w:val="nil"/>
                <w:right w:val="nil"/>
                <w:between w:val="nil"/>
              </w:pBdr>
              <w:spacing w:line="240" w:lineRule="auto"/>
              <w:rPr>
                <w:sz w:val="18"/>
                <w:szCs w:val="18"/>
              </w:rPr>
            </w:pPr>
            <w:r>
              <w:rPr>
                <w:sz w:val="18"/>
                <w:szCs w:val="18"/>
              </w:rPr>
              <w:t>£10 million - £20 million</w:t>
            </w:r>
          </w:p>
        </w:tc>
        <w:tc>
          <w:tcPr>
            <w:tcW w:w="1770" w:type="dxa"/>
            <w:shd w:val="clear" w:color="auto" w:fill="auto"/>
            <w:tcMar>
              <w:top w:w="100" w:type="dxa"/>
              <w:left w:w="100" w:type="dxa"/>
              <w:bottom w:w="100" w:type="dxa"/>
              <w:right w:w="100" w:type="dxa"/>
            </w:tcMar>
          </w:tcPr>
          <w:p w14:paraId="12FB52C1" w14:textId="0868E3E4" w:rsidR="008768F4" w:rsidRDefault="00085DF4" w:rsidP="002D1194">
            <w:pPr>
              <w:widowControl w:val="0"/>
              <w:pBdr>
                <w:top w:val="nil"/>
                <w:left w:val="nil"/>
                <w:bottom w:val="nil"/>
                <w:right w:val="nil"/>
                <w:between w:val="nil"/>
              </w:pBdr>
              <w:spacing w:line="240" w:lineRule="auto"/>
              <w:rPr>
                <w:sz w:val="18"/>
                <w:szCs w:val="18"/>
              </w:rPr>
            </w:pPr>
            <w:r>
              <w:rPr>
                <w:sz w:val="18"/>
                <w:szCs w:val="18"/>
              </w:rPr>
              <w:t>£</w:t>
            </w:r>
            <w:r w:rsidR="00496FBE">
              <w:rPr>
                <w:sz w:val="18"/>
                <w:szCs w:val="18"/>
              </w:rPr>
              <w:t>145</w:t>
            </w:r>
            <w:r>
              <w:rPr>
                <w:sz w:val="18"/>
                <w:szCs w:val="18"/>
              </w:rPr>
              <w:t>,</w:t>
            </w:r>
            <w:r w:rsidR="00496FBE">
              <w:rPr>
                <w:sz w:val="18"/>
                <w:szCs w:val="18"/>
              </w:rPr>
              <w:t>9</w:t>
            </w:r>
            <w:r>
              <w:rPr>
                <w:sz w:val="18"/>
                <w:szCs w:val="18"/>
              </w:rPr>
              <w:t>50</w:t>
            </w:r>
          </w:p>
        </w:tc>
      </w:tr>
      <w:tr w:rsidR="008768F4" w14:paraId="595FBB70" w14:textId="77777777">
        <w:tc>
          <w:tcPr>
            <w:tcW w:w="2340" w:type="dxa"/>
            <w:shd w:val="clear" w:color="auto" w:fill="auto"/>
            <w:tcMar>
              <w:top w:w="100" w:type="dxa"/>
              <w:left w:w="100" w:type="dxa"/>
              <w:bottom w:w="100" w:type="dxa"/>
              <w:right w:w="100" w:type="dxa"/>
            </w:tcMar>
          </w:tcPr>
          <w:p w14:paraId="47469CB3" w14:textId="77777777" w:rsidR="008768F4" w:rsidRDefault="00085DF4" w:rsidP="002D1194">
            <w:pPr>
              <w:widowControl w:val="0"/>
              <w:pBdr>
                <w:top w:val="nil"/>
                <w:left w:val="nil"/>
                <w:bottom w:val="nil"/>
                <w:right w:val="nil"/>
                <w:between w:val="nil"/>
              </w:pBdr>
              <w:spacing w:line="240" w:lineRule="auto"/>
              <w:rPr>
                <w:sz w:val="18"/>
                <w:szCs w:val="18"/>
              </w:rPr>
            </w:pPr>
            <w:r>
              <w:rPr>
                <w:sz w:val="18"/>
                <w:szCs w:val="18"/>
              </w:rPr>
              <w:t>More than £20 million</w:t>
            </w:r>
          </w:p>
        </w:tc>
        <w:tc>
          <w:tcPr>
            <w:tcW w:w="1770" w:type="dxa"/>
            <w:shd w:val="clear" w:color="auto" w:fill="auto"/>
            <w:tcMar>
              <w:top w:w="100" w:type="dxa"/>
              <w:left w:w="100" w:type="dxa"/>
              <w:bottom w:w="100" w:type="dxa"/>
              <w:right w:w="100" w:type="dxa"/>
            </w:tcMar>
          </w:tcPr>
          <w:p w14:paraId="7AF663CD" w14:textId="07B23F35" w:rsidR="008768F4" w:rsidRDefault="00085DF4" w:rsidP="002D1194">
            <w:pPr>
              <w:widowControl w:val="0"/>
              <w:pBdr>
                <w:top w:val="nil"/>
                <w:left w:val="nil"/>
                <w:bottom w:val="nil"/>
                <w:right w:val="nil"/>
                <w:between w:val="nil"/>
              </w:pBdr>
              <w:spacing w:line="240" w:lineRule="auto"/>
              <w:rPr>
                <w:sz w:val="18"/>
                <w:szCs w:val="18"/>
              </w:rPr>
            </w:pPr>
            <w:r>
              <w:rPr>
                <w:sz w:val="18"/>
                <w:szCs w:val="18"/>
              </w:rPr>
              <w:t>£2</w:t>
            </w:r>
            <w:r w:rsidR="00DB1B33">
              <w:rPr>
                <w:sz w:val="18"/>
                <w:szCs w:val="18"/>
              </w:rPr>
              <w:t>92</w:t>
            </w:r>
            <w:r>
              <w:rPr>
                <w:sz w:val="18"/>
                <w:szCs w:val="18"/>
              </w:rPr>
              <w:t>,</w:t>
            </w:r>
            <w:r w:rsidR="00DB1B33">
              <w:rPr>
                <w:sz w:val="18"/>
                <w:szCs w:val="18"/>
              </w:rPr>
              <w:t>3</w:t>
            </w:r>
            <w:r>
              <w:rPr>
                <w:sz w:val="18"/>
                <w:szCs w:val="18"/>
              </w:rPr>
              <w:t>50</w:t>
            </w:r>
          </w:p>
        </w:tc>
      </w:tr>
    </w:tbl>
    <w:p w14:paraId="48A69D37" w14:textId="77777777" w:rsidR="008768F4" w:rsidRPr="00B57760" w:rsidRDefault="00085DF4" w:rsidP="002D1194">
      <w:pPr>
        <w:pStyle w:val="Heading2"/>
        <w:rPr>
          <w:b/>
          <w:bCs/>
          <w:sz w:val="28"/>
          <w:szCs w:val="28"/>
        </w:rPr>
      </w:pPr>
      <w:bookmarkStart w:id="2" w:name="_7plbcbtovn09" w:colFirst="0" w:colLast="0"/>
      <w:bookmarkEnd w:id="2"/>
      <w:r w:rsidRPr="00B57760">
        <w:rPr>
          <w:b/>
          <w:bCs/>
          <w:sz w:val="28"/>
          <w:szCs w:val="28"/>
        </w:rPr>
        <w:t>Benefit in Kind</w:t>
      </w:r>
    </w:p>
    <w:p w14:paraId="3AEA258A" w14:textId="77777777" w:rsidR="008768F4" w:rsidRDefault="00085DF4" w:rsidP="002D1194">
      <w:pPr>
        <w:rPr>
          <w:sz w:val="21"/>
          <w:szCs w:val="21"/>
        </w:rPr>
      </w:pPr>
      <w:r>
        <w:rPr>
          <w:sz w:val="21"/>
          <w:szCs w:val="21"/>
        </w:rPr>
        <w:t>Benefits in kind (BIK) are benefits that directors or employees receive from their company that are not included in their salary. This may include property and living accommodation benefits.</w:t>
      </w:r>
    </w:p>
    <w:p w14:paraId="43AF01D0" w14:textId="77777777" w:rsidR="008768F4" w:rsidRDefault="008768F4" w:rsidP="002D1194">
      <w:pPr>
        <w:rPr>
          <w:sz w:val="21"/>
          <w:szCs w:val="21"/>
        </w:rPr>
      </w:pPr>
    </w:p>
    <w:p w14:paraId="2BE56ADF" w14:textId="77777777" w:rsidR="008768F4" w:rsidRDefault="00085DF4" w:rsidP="002D1194">
      <w:pPr>
        <w:rPr>
          <w:sz w:val="21"/>
          <w:szCs w:val="21"/>
        </w:rPr>
      </w:pPr>
      <w:r>
        <w:rPr>
          <w:sz w:val="21"/>
          <w:szCs w:val="21"/>
        </w:rPr>
        <w:t>If a company purchased a holiday let for its director(s), you should check how much tax you will need to pay and for how much of the year it applies. You can find a detailed example below.</w:t>
      </w:r>
    </w:p>
    <w:p w14:paraId="1B41AC7B" w14:textId="77777777" w:rsidR="008768F4" w:rsidRPr="00B57760" w:rsidRDefault="00085DF4" w:rsidP="00B57760">
      <w:pPr>
        <w:pStyle w:val="Heading2"/>
        <w:spacing w:before="120"/>
        <w:rPr>
          <w:b/>
          <w:bCs/>
          <w:sz w:val="28"/>
          <w:szCs w:val="28"/>
        </w:rPr>
      </w:pPr>
      <w:bookmarkStart w:id="3" w:name="_rmkhx7o9bqzy" w:colFirst="0" w:colLast="0"/>
      <w:bookmarkEnd w:id="3"/>
      <w:r w:rsidRPr="00B57760">
        <w:rPr>
          <w:b/>
          <w:bCs/>
          <w:sz w:val="28"/>
          <w:szCs w:val="28"/>
        </w:rPr>
        <w:t>Example</w:t>
      </w:r>
    </w:p>
    <w:p w14:paraId="41829864" w14:textId="77777777" w:rsidR="008768F4" w:rsidRDefault="00085DF4" w:rsidP="002D1194">
      <w:pPr>
        <w:rPr>
          <w:sz w:val="21"/>
          <w:szCs w:val="21"/>
        </w:rPr>
      </w:pPr>
      <w:r>
        <w:rPr>
          <w:sz w:val="21"/>
          <w:szCs w:val="21"/>
        </w:rPr>
        <w:t xml:space="preserve">An HMRC example of a BIK case can be found in </w:t>
      </w:r>
      <w:hyperlink r:id="rId9">
        <w:r>
          <w:rPr>
            <w:color w:val="1155CC"/>
            <w:sz w:val="21"/>
            <w:szCs w:val="21"/>
            <w:u w:val="single"/>
          </w:rPr>
          <w:t>EIM11421</w:t>
        </w:r>
      </w:hyperlink>
      <w:r>
        <w:rPr>
          <w:sz w:val="21"/>
          <w:szCs w:val="21"/>
        </w:rPr>
        <w:t>. To sum up, a UK company purchases a flat in France for £200,000. The market rental price for the property would be £500 per week during the 6-month skiing season and £100 per week during the rest of the year. A husband and wife who are both directors of the company use the flat for holidays 4 weeks per year (3 weeks during ski season and 1 week during the slow season). The sole reason the property was bought was as a holiday home for the couple and it has only been used as such.</w:t>
      </w:r>
    </w:p>
    <w:p w14:paraId="4A1D0686" w14:textId="77777777" w:rsidR="008768F4" w:rsidRDefault="008768F4" w:rsidP="002D1194">
      <w:pPr>
        <w:rPr>
          <w:sz w:val="21"/>
          <w:szCs w:val="21"/>
        </w:rPr>
      </w:pPr>
    </w:p>
    <w:p w14:paraId="5690267C" w14:textId="77777777" w:rsidR="008768F4" w:rsidRDefault="00085DF4" w:rsidP="002D1194">
      <w:pPr>
        <w:rPr>
          <w:sz w:val="21"/>
          <w:szCs w:val="21"/>
        </w:rPr>
      </w:pPr>
      <w:r>
        <w:rPr>
          <w:sz w:val="21"/>
          <w:szCs w:val="21"/>
        </w:rPr>
        <w:t xml:space="preserve">Because the flat was habitable for the entire year, HMRC would seek a benefit measured on availability for the whole year (even though they only use it for 4 weeks). </w:t>
      </w:r>
    </w:p>
    <w:p w14:paraId="73213AC9" w14:textId="77777777" w:rsidR="008768F4" w:rsidRDefault="008768F4" w:rsidP="002D1194">
      <w:pPr>
        <w:rPr>
          <w:sz w:val="21"/>
          <w:szCs w:val="21"/>
        </w:rPr>
      </w:pPr>
    </w:p>
    <w:p w14:paraId="5CD925C2" w14:textId="77777777" w:rsidR="008768F4" w:rsidRDefault="00085DF4" w:rsidP="002D1194">
      <w:pPr>
        <w:rPr>
          <w:sz w:val="21"/>
          <w:szCs w:val="21"/>
        </w:rPr>
      </w:pPr>
      <w:r>
        <w:rPr>
          <w:sz w:val="21"/>
          <w:szCs w:val="21"/>
        </w:rPr>
        <w:t xml:space="preserve">Therefore, a cash equivalent for the tax year, under Section 106 ITEPA 2003, would be </w:t>
      </w:r>
      <w:r>
        <w:rPr>
          <w:b/>
          <w:sz w:val="21"/>
          <w:szCs w:val="21"/>
        </w:rPr>
        <w:t>£15,600</w:t>
      </w:r>
      <w:r>
        <w:rPr>
          <w:sz w:val="21"/>
          <w:szCs w:val="21"/>
        </w:rPr>
        <w:t xml:space="preserve">. This is calculated as 6 months of ski season at £500/week (£13,000) and 6 months off-season at £100/week (£2,600). </w:t>
      </w:r>
    </w:p>
    <w:p w14:paraId="118A5D52" w14:textId="77777777" w:rsidR="008768F4" w:rsidRDefault="008768F4" w:rsidP="002D1194">
      <w:pPr>
        <w:rPr>
          <w:sz w:val="21"/>
          <w:szCs w:val="21"/>
        </w:rPr>
      </w:pPr>
    </w:p>
    <w:p w14:paraId="042ABE1A" w14:textId="77777777" w:rsidR="008768F4" w:rsidRDefault="00085DF4" w:rsidP="002D1194">
      <w:pPr>
        <w:rPr>
          <w:sz w:val="21"/>
          <w:szCs w:val="21"/>
        </w:rPr>
      </w:pPr>
      <w:r>
        <w:rPr>
          <w:sz w:val="21"/>
          <w:szCs w:val="21"/>
        </w:rPr>
        <w:t>If the property was personally owned, different tax rules would apply and the bill would be significantly lower.</w:t>
      </w:r>
    </w:p>
    <w:p w14:paraId="76CB9E78" w14:textId="77777777" w:rsidR="008768F4" w:rsidRDefault="008768F4" w:rsidP="002D1194">
      <w:pPr>
        <w:rPr>
          <w:sz w:val="21"/>
          <w:szCs w:val="21"/>
        </w:rPr>
      </w:pPr>
    </w:p>
    <w:p w14:paraId="7C8B562E" w14:textId="77777777" w:rsidR="008768F4" w:rsidRDefault="00085DF4" w:rsidP="002D1194">
      <w:r>
        <w:rPr>
          <w:sz w:val="21"/>
          <w:szCs w:val="21"/>
        </w:rPr>
        <w:t xml:space="preserve">Please contact us if you would like to know more about ATED and any exemptions that may apply. We can advise you on the best (and most tax-effective) way to proceed. </w:t>
      </w:r>
    </w:p>
    <w:sectPr w:rsidR="008768F4">
      <w:headerReference w:type="default" r:id="rId10"/>
      <w:footerReference w:type="default" r:id="rId11"/>
      <w:pgSz w:w="11909" w:h="16834"/>
      <w:pgMar w:top="1275" w:right="1440" w:bottom="829"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C9BF" w14:textId="77777777" w:rsidR="00D92B09" w:rsidRDefault="00D92B09">
      <w:pPr>
        <w:spacing w:line="240" w:lineRule="auto"/>
      </w:pPr>
      <w:r>
        <w:separator/>
      </w:r>
    </w:p>
  </w:endnote>
  <w:endnote w:type="continuationSeparator" w:id="0">
    <w:p w14:paraId="247A5B6C" w14:textId="77777777" w:rsidR="00D92B09" w:rsidRDefault="00D92B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BB99" w14:textId="77777777" w:rsidR="008768F4" w:rsidRDefault="008768F4">
    <w:pPr>
      <w:jc w:val="center"/>
      <w:rPr>
        <w:i/>
      </w:rPr>
    </w:pPr>
  </w:p>
  <w:p w14:paraId="5C79E322" w14:textId="67ECF3F8" w:rsidR="008768F4" w:rsidRPr="00B57760" w:rsidRDefault="00085DF4" w:rsidP="00B57760">
    <w:pPr>
      <w:jc w:val="center"/>
      <w:rPr>
        <w:color w:val="999999"/>
        <w:sz w:val="20"/>
        <w:szCs w:val="20"/>
      </w:rPr>
    </w:pPr>
    <w:r>
      <w:rPr>
        <w:i/>
      </w:rPr>
      <w:t>We hope that you find this informative. Please contact us to discuss any matters further.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51615" w14:textId="77777777" w:rsidR="00D92B09" w:rsidRDefault="00D92B09">
      <w:pPr>
        <w:spacing w:line="240" w:lineRule="auto"/>
      </w:pPr>
      <w:r>
        <w:separator/>
      </w:r>
    </w:p>
  </w:footnote>
  <w:footnote w:type="continuationSeparator" w:id="0">
    <w:p w14:paraId="7299F9A0" w14:textId="77777777" w:rsidR="00D92B09" w:rsidRDefault="00D92B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C6A4" w14:textId="0B325604" w:rsidR="00B57760" w:rsidRDefault="00060A50">
    <w:pPr>
      <w:pStyle w:val="Header"/>
    </w:pPr>
    <w:r>
      <w:rPr>
        <w:noProof/>
      </w:rPr>
      <w:drawing>
        <wp:anchor distT="114300" distB="114300" distL="114300" distR="114300" simplePos="0" relativeHeight="251659264" behindDoc="1" locked="0" layoutInCell="1" hidden="0" allowOverlap="1" wp14:anchorId="7974CA1F" wp14:editId="0E5955A6">
          <wp:simplePos x="0" y="0"/>
          <wp:positionH relativeFrom="column">
            <wp:posOffset>4930775</wp:posOffset>
          </wp:positionH>
          <wp:positionV relativeFrom="paragraph">
            <wp:posOffset>-370840</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5A55F7ED" wp14:editId="0CBECA08">
              <wp:simplePos x="0" y="0"/>
              <wp:positionH relativeFrom="column">
                <wp:posOffset>327938</wp:posOffset>
              </wp:positionH>
              <wp:positionV relativeFrom="paragraph">
                <wp:posOffset>24364</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6C7E1FE0" w14:textId="77777777" w:rsidR="00060A50" w:rsidRPr="00A029C0" w:rsidRDefault="00060A50" w:rsidP="00060A50">
                          <w:pPr>
                            <w:spacing w:line="240" w:lineRule="auto"/>
                            <w:rPr>
                              <w:b/>
                              <w:i/>
                              <w:iCs/>
                              <w:color w:val="00AC94"/>
                              <w:sz w:val="32"/>
                              <w:szCs w:val="32"/>
                            </w:rPr>
                          </w:pPr>
                          <w:r w:rsidRPr="00A029C0">
                            <w:rPr>
                              <w:b/>
                              <w:i/>
                              <w:iCs/>
                              <w:color w:val="00AC94"/>
                              <w:sz w:val="32"/>
                              <w:szCs w:val="32"/>
                            </w:rPr>
                            <w:t>Your Logo Here</w:t>
                          </w:r>
                        </w:p>
                        <w:p w14:paraId="3D99D600" w14:textId="77777777" w:rsidR="00060A50" w:rsidRDefault="00060A50" w:rsidP="00060A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55F7ED" id="_x0000_t202" coordsize="21600,21600" o:spt="202" path="m,l,21600r21600,l21600,xe">
              <v:stroke joinstyle="miter"/>
              <v:path gradientshapeok="t" o:connecttype="rect"/>
            </v:shapetype>
            <v:shape id="Text Box 7" o:spid="_x0000_s1026" type="#_x0000_t202" style="position:absolute;margin-left:25.8pt;margin-top:1.9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" fillcolor="white [3201]" stroked="f" strokeweight=".5pt">
              <v:textbox>
                <w:txbxContent>
                  <w:p w14:paraId="6C7E1FE0" w14:textId="77777777" w:rsidR="00060A50" w:rsidRPr="00A029C0" w:rsidRDefault="00060A50" w:rsidP="00060A50">
                    <w:pPr>
                      <w:spacing w:line="240" w:lineRule="auto"/>
                      <w:rPr>
                        <w:b/>
                        <w:i/>
                        <w:iCs/>
                        <w:color w:val="00AC94"/>
                        <w:sz w:val="32"/>
                        <w:szCs w:val="32"/>
                      </w:rPr>
                    </w:pPr>
                    <w:r w:rsidRPr="00A029C0">
                      <w:rPr>
                        <w:b/>
                        <w:i/>
                        <w:iCs/>
                        <w:color w:val="00AC94"/>
                        <w:sz w:val="32"/>
                        <w:szCs w:val="32"/>
                      </w:rPr>
                      <w:t>Your Logo Here</w:t>
                    </w:r>
                  </w:p>
                  <w:p w14:paraId="3D99D600" w14:textId="77777777" w:rsidR="00060A50" w:rsidRDefault="00060A50" w:rsidP="00060A50"/>
                </w:txbxContent>
              </v:textbox>
            </v:shape>
          </w:pict>
        </mc:Fallback>
      </mc:AlternateContent>
    </w:r>
  </w:p>
  <w:p w14:paraId="0F2A1B97" w14:textId="7857C5ED" w:rsidR="00B57760" w:rsidRDefault="00B57760">
    <w:pPr>
      <w:pStyle w:val="Header"/>
    </w:pPr>
  </w:p>
  <w:p w14:paraId="5676DBCB" w14:textId="41BB16D0" w:rsidR="00B57760" w:rsidRDefault="00B57760">
    <w:pPr>
      <w:pStyle w:val="Header"/>
    </w:pPr>
  </w:p>
  <w:p w14:paraId="70C67162" w14:textId="15846B20" w:rsidR="00B57760" w:rsidRDefault="00B57760">
    <w:pPr>
      <w:pStyle w:val="Header"/>
    </w:pPr>
  </w:p>
  <w:p w14:paraId="691D22DC" w14:textId="68B3A781" w:rsidR="00B57760" w:rsidRDefault="00B577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F4"/>
    <w:rsid w:val="00015E9D"/>
    <w:rsid w:val="00060A50"/>
    <w:rsid w:val="00085DF4"/>
    <w:rsid w:val="00110707"/>
    <w:rsid w:val="00273B2A"/>
    <w:rsid w:val="002D1194"/>
    <w:rsid w:val="00461CF1"/>
    <w:rsid w:val="00493861"/>
    <w:rsid w:val="00496FBE"/>
    <w:rsid w:val="005A587A"/>
    <w:rsid w:val="008768F4"/>
    <w:rsid w:val="00987EFA"/>
    <w:rsid w:val="00A7218B"/>
    <w:rsid w:val="00A9366C"/>
    <w:rsid w:val="00B57760"/>
    <w:rsid w:val="00D92B09"/>
    <w:rsid w:val="00DB1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C0AE4"/>
  <w15:docId w15:val="{71852897-9202-48FF-BA4A-0A6BCCF8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D1194"/>
    <w:pPr>
      <w:tabs>
        <w:tab w:val="center" w:pos="4513"/>
        <w:tab w:val="right" w:pos="9026"/>
      </w:tabs>
      <w:spacing w:line="240" w:lineRule="auto"/>
    </w:pPr>
  </w:style>
  <w:style w:type="character" w:customStyle="1" w:styleId="HeaderChar">
    <w:name w:val="Header Char"/>
    <w:basedOn w:val="DefaultParagraphFont"/>
    <w:link w:val="Header"/>
    <w:uiPriority w:val="99"/>
    <w:rsid w:val="002D1194"/>
  </w:style>
  <w:style w:type="paragraph" w:styleId="Footer">
    <w:name w:val="footer"/>
    <w:basedOn w:val="Normal"/>
    <w:link w:val="FooterChar"/>
    <w:uiPriority w:val="99"/>
    <w:unhideWhenUsed/>
    <w:rsid w:val="002D1194"/>
    <w:pPr>
      <w:tabs>
        <w:tab w:val="center" w:pos="4513"/>
        <w:tab w:val="right" w:pos="9026"/>
      </w:tabs>
      <w:spacing w:line="240" w:lineRule="auto"/>
    </w:pPr>
  </w:style>
  <w:style w:type="character" w:customStyle="1" w:styleId="FooterChar">
    <w:name w:val="Footer Char"/>
    <w:basedOn w:val="DefaultParagraphFont"/>
    <w:link w:val="Footer"/>
    <w:uiPriority w:val="99"/>
    <w:rsid w:val="002D1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uk/hmrc-internal-manuals/employment-income-manual/eim114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SharedWithUsers xmlns="89852fe5-8403-4d71-98b1-3957e8d6254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16571-6376-48D5-8B73-49983A99AE33}">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2.xml><?xml version="1.0" encoding="utf-8"?>
<ds:datastoreItem xmlns:ds="http://schemas.openxmlformats.org/officeDocument/2006/customXml" ds:itemID="{64E1E010-4B41-4324-9464-4575DBA6891D}">
  <ds:schemaRefs>
    <ds:schemaRef ds:uri="http://schemas.microsoft.com/sharepoint/v3/contenttype/forms"/>
  </ds:schemaRefs>
</ds:datastoreItem>
</file>

<file path=customXml/itemProps3.xml><?xml version="1.0" encoding="utf-8"?>
<ds:datastoreItem xmlns:ds="http://schemas.openxmlformats.org/officeDocument/2006/customXml" ds:itemID="{6DB182AF-7A27-4AA5-BD33-B59A350D3DE7}"/>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Emma Gilbert-Smith</cp:lastModifiedBy>
  <cp:revision>6</cp:revision>
  <dcterms:created xsi:type="dcterms:W3CDTF">2025-02-07T13:57:00Z</dcterms:created>
  <dcterms:modified xsi:type="dcterms:W3CDTF">2025-02-10T12:45:00Z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