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3CAC1C" w14:textId="752B7177" w:rsidR="00D32BB5" w:rsidRDefault="00A24359" w:rsidP="00D32BB5">
      <w:pPr>
        <w:spacing w:after="30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Cost Value Reconciliations</w:t>
      </w:r>
    </w:p>
    <w:p w14:paraId="1A0A48D6" w14:textId="14351F88" w:rsidR="00A24359" w:rsidRPr="000869F9" w:rsidRDefault="000B2217" w:rsidP="00D1783E">
      <w:pPr>
        <w:pStyle w:val="NormalWeb"/>
        <w:spacing w:after="210" w:afterAutospacing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For those in the construction sector, </w:t>
      </w:r>
      <w:r w:rsidR="00A15461">
        <w:rPr>
          <w:rFonts w:ascii="Arial" w:hAnsi="Arial"/>
          <w:sz w:val="20"/>
          <w:szCs w:val="20"/>
        </w:rPr>
        <w:t xml:space="preserve">calculating </w:t>
      </w:r>
      <w:r>
        <w:rPr>
          <w:rFonts w:ascii="Arial" w:hAnsi="Arial"/>
          <w:sz w:val="20"/>
          <w:szCs w:val="20"/>
        </w:rPr>
        <w:t xml:space="preserve">the amount of income to report in </w:t>
      </w:r>
      <w:r w:rsidR="00A15461">
        <w:rPr>
          <w:rFonts w:ascii="Arial" w:hAnsi="Arial"/>
          <w:sz w:val="20"/>
          <w:szCs w:val="20"/>
        </w:rPr>
        <w:t xml:space="preserve">your accounts </w:t>
      </w:r>
      <w:r w:rsidR="00143A79">
        <w:rPr>
          <w:rFonts w:ascii="Arial" w:hAnsi="Arial"/>
          <w:sz w:val="20"/>
          <w:szCs w:val="20"/>
        </w:rPr>
        <w:t xml:space="preserve">in </w:t>
      </w:r>
      <w:r>
        <w:rPr>
          <w:rFonts w:ascii="Arial" w:hAnsi="Arial"/>
          <w:sz w:val="20"/>
          <w:szCs w:val="20"/>
        </w:rPr>
        <w:t xml:space="preserve">respect of contracts can be a minefield. This factsheet considers why it’s important to </w:t>
      </w:r>
      <w:r w:rsidR="00A15461">
        <w:rPr>
          <w:rFonts w:ascii="Arial" w:hAnsi="Arial"/>
          <w:sz w:val="20"/>
          <w:szCs w:val="20"/>
        </w:rPr>
        <w:t xml:space="preserve">do this </w:t>
      </w:r>
      <w:r>
        <w:rPr>
          <w:rFonts w:ascii="Arial" w:hAnsi="Arial"/>
          <w:sz w:val="20"/>
          <w:szCs w:val="20"/>
        </w:rPr>
        <w:t>accurately and what you can do to get it right.</w:t>
      </w:r>
    </w:p>
    <w:p w14:paraId="10717369" w14:textId="340156DD" w:rsidR="00D1783E" w:rsidRDefault="000869F9" w:rsidP="00D1783E">
      <w:pPr>
        <w:pStyle w:val="NormalWeb"/>
        <w:spacing w:after="210" w:afterAutospacing="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Why is it important?</w:t>
      </w:r>
    </w:p>
    <w:p w14:paraId="7CE85ED5" w14:textId="7CE109A7" w:rsidR="00FF51E5" w:rsidRDefault="000869F9" w:rsidP="00A24359">
      <w:pPr>
        <w:pStyle w:val="NormalWeb"/>
        <w:spacing w:after="210" w:afterAutospacing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A fundamental principle of taxation is that tax is charged on a business’s profits</w:t>
      </w:r>
      <w:r w:rsidR="000623AB">
        <w:rPr>
          <w:rFonts w:ascii="Arial" w:hAnsi="Arial"/>
          <w:sz w:val="20"/>
          <w:szCs w:val="20"/>
        </w:rPr>
        <w:t xml:space="preserve"> which have been calculated in accordance with </w:t>
      </w:r>
      <w:r w:rsidR="008171F1">
        <w:rPr>
          <w:rFonts w:ascii="Arial" w:hAnsi="Arial"/>
          <w:sz w:val="20"/>
          <w:szCs w:val="20"/>
        </w:rPr>
        <w:t xml:space="preserve">UK </w:t>
      </w:r>
      <w:r w:rsidR="000623AB">
        <w:rPr>
          <w:rFonts w:ascii="Arial" w:hAnsi="Arial"/>
          <w:sz w:val="20"/>
          <w:szCs w:val="20"/>
        </w:rPr>
        <w:t>Generally Accepted Accounting Practice (GAAP) and then adjusted according to tax legislation.</w:t>
      </w:r>
    </w:p>
    <w:p w14:paraId="4B041504" w14:textId="1A08F2B1" w:rsidR="00456F00" w:rsidRDefault="00456F00" w:rsidP="00A24359">
      <w:pPr>
        <w:pStyle w:val="NormalWeb"/>
        <w:spacing w:after="210" w:afterAutospacing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If a business’s profits have not been calculated in accordance with UK GAAP, the amount of tax payable is likely to be wrong.</w:t>
      </w:r>
    </w:p>
    <w:p w14:paraId="15F4F70F" w14:textId="7BD763CB" w:rsidR="00456F00" w:rsidRDefault="00456F00" w:rsidP="00A24359">
      <w:pPr>
        <w:pStyle w:val="NormalWeb"/>
        <w:spacing w:after="210" w:afterAutospacing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In Mark Smith v HMRC (2012) TC02321, the taxpayer appealed against discovery assessments made by HMRC. The First-Tier Tribunal found in favour of HMRC because Mark Smith’s method of recognising income from contracts was not in accordance with GAAP.</w:t>
      </w:r>
    </w:p>
    <w:p w14:paraId="1106AFD7" w14:textId="581EAB9D" w:rsidR="0055704C" w:rsidRDefault="009F088D" w:rsidP="00A24359">
      <w:pPr>
        <w:pStyle w:val="NormalWeb"/>
        <w:spacing w:after="210" w:afterAutospacing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Companies must also follow </w:t>
      </w:r>
      <w:r w:rsidR="00E46362">
        <w:rPr>
          <w:rFonts w:ascii="Arial" w:hAnsi="Arial"/>
          <w:sz w:val="20"/>
          <w:szCs w:val="20"/>
        </w:rPr>
        <w:t>UK GAAP as their accounts must give a True and Fair view.</w:t>
      </w:r>
    </w:p>
    <w:p w14:paraId="7E06D777" w14:textId="32564692" w:rsidR="00456F00" w:rsidRPr="00456F00" w:rsidRDefault="0055704C" w:rsidP="00A24359">
      <w:pPr>
        <w:pStyle w:val="NormalWeb"/>
        <w:spacing w:after="210" w:afterAutospacing="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Recognizing revenue from construction contracts</w:t>
      </w:r>
    </w:p>
    <w:p w14:paraId="01727FA3" w14:textId="69D39FBC" w:rsidR="000B2217" w:rsidRDefault="000B2217" w:rsidP="00A24359">
      <w:pPr>
        <w:pStyle w:val="NormalWeb"/>
        <w:spacing w:after="210" w:afterAutospacing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In the UK, GAAP is set out in Financial Reporting Standards (FRS). FRS 102 applies to most companies</w:t>
      </w:r>
      <w:r w:rsidR="004B5485">
        <w:rPr>
          <w:rFonts w:ascii="Arial" w:hAnsi="Arial"/>
          <w:sz w:val="20"/>
          <w:szCs w:val="20"/>
        </w:rPr>
        <w:t>, except micro-entities which apply</w:t>
      </w:r>
      <w:r>
        <w:rPr>
          <w:rFonts w:ascii="Arial" w:hAnsi="Arial"/>
          <w:sz w:val="20"/>
          <w:szCs w:val="20"/>
        </w:rPr>
        <w:t xml:space="preserve"> FRS 105</w:t>
      </w:r>
      <w:r w:rsidR="00EB721D">
        <w:rPr>
          <w:rFonts w:ascii="Arial" w:hAnsi="Arial"/>
          <w:sz w:val="20"/>
          <w:szCs w:val="20"/>
        </w:rPr>
        <w:t>, but both standards mandate the same approach (as below)</w:t>
      </w:r>
      <w:r>
        <w:rPr>
          <w:rFonts w:ascii="Arial" w:hAnsi="Arial"/>
          <w:sz w:val="20"/>
          <w:szCs w:val="20"/>
        </w:rPr>
        <w:t>.</w:t>
      </w:r>
    </w:p>
    <w:p w14:paraId="2A7F8A0D" w14:textId="1082FDFF" w:rsidR="00A15461" w:rsidRDefault="00EB721D" w:rsidP="00A24359">
      <w:pPr>
        <w:pStyle w:val="NormalWeb"/>
        <w:spacing w:after="210" w:afterAutospacing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Under UK GAAP, </w:t>
      </w:r>
      <w:r w:rsidR="00A15461">
        <w:rPr>
          <w:rFonts w:ascii="Arial" w:hAnsi="Arial"/>
          <w:sz w:val="20"/>
          <w:szCs w:val="20"/>
        </w:rPr>
        <w:t>revenue in the accounts should be based on the stage of completion of the contract. So</w:t>
      </w:r>
      <w:r w:rsidR="0027737F">
        <w:rPr>
          <w:rFonts w:ascii="Arial" w:hAnsi="Arial"/>
          <w:sz w:val="20"/>
          <w:szCs w:val="20"/>
        </w:rPr>
        <w:t>,</w:t>
      </w:r>
      <w:r w:rsidR="00A15461">
        <w:rPr>
          <w:rFonts w:ascii="Arial" w:hAnsi="Arial"/>
          <w:sz w:val="20"/>
          <w:szCs w:val="20"/>
        </w:rPr>
        <w:t xml:space="preserve"> if it is 50% of the way through, revenue should be 50% of the total contract value.</w:t>
      </w:r>
    </w:p>
    <w:p w14:paraId="54F3A41A" w14:textId="58A00A9A" w:rsidR="0027737F" w:rsidRDefault="0027737F" w:rsidP="00A24359">
      <w:pPr>
        <w:pStyle w:val="NormalWeb"/>
        <w:spacing w:after="210" w:afterAutospacing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For </w:t>
      </w:r>
      <w:r w:rsidR="00A15461">
        <w:rPr>
          <w:rFonts w:ascii="Arial" w:hAnsi="Arial"/>
          <w:sz w:val="20"/>
          <w:szCs w:val="20"/>
        </w:rPr>
        <w:t>profit</w:t>
      </w:r>
      <w:r>
        <w:rPr>
          <w:rFonts w:ascii="Arial" w:hAnsi="Arial"/>
          <w:sz w:val="20"/>
          <w:szCs w:val="20"/>
        </w:rPr>
        <w:t>,</w:t>
      </w:r>
      <w:r w:rsidR="00A15461">
        <w:rPr>
          <w:rFonts w:ascii="Arial" w:hAnsi="Arial"/>
          <w:sz w:val="20"/>
          <w:szCs w:val="20"/>
        </w:rPr>
        <w:t xml:space="preserve"> recognition </w:t>
      </w:r>
      <w:r>
        <w:rPr>
          <w:rFonts w:ascii="Arial" w:hAnsi="Arial"/>
          <w:sz w:val="20"/>
          <w:szCs w:val="20"/>
        </w:rPr>
        <w:t xml:space="preserve">requirements are </w:t>
      </w:r>
      <w:r w:rsidR="00A15461">
        <w:rPr>
          <w:rFonts w:ascii="Arial" w:hAnsi="Arial"/>
          <w:sz w:val="20"/>
          <w:szCs w:val="20"/>
        </w:rPr>
        <w:t xml:space="preserve">a little more complex. In general, profit should be recognised in line with income, over the life of the project. </w:t>
      </w:r>
      <w:r w:rsidR="000B2217">
        <w:rPr>
          <w:rFonts w:ascii="Arial" w:hAnsi="Arial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So, if a project is due to make 10% profit, when it is 50% complete you would recognise 50% of the income and accrue costs so that profit of 10% is made on that income.</w:t>
      </w:r>
    </w:p>
    <w:p w14:paraId="3B0A4CC8" w14:textId="77777777" w:rsidR="0027737F" w:rsidRDefault="0027737F" w:rsidP="00A24359">
      <w:pPr>
        <w:pStyle w:val="NormalWeb"/>
        <w:spacing w:after="210" w:afterAutospacing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However, profit should only be recognised when </w:t>
      </w:r>
      <w:r w:rsidR="000B2217">
        <w:rPr>
          <w:rFonts w:ascii="Arial" w:hAnsi="Arial"/>
          <w:sz w:val="20"/>
          <w:szCs w:val="20"/>
        </w:rPr>
        <w:t>the outcome of a contract can be reliably estimated</w:t>
      </w:r>
      <w:r>
        <w:rPr>
          <w:rFonts w:ascii="Arial" w:hAnsi="Arial"/>
          <w:sz w:val="20"/>
          <w:szCs w:val="20"/>
        </w:rPr>
        <w:t>. So many businesses may only recognise profit when the project is more than 20% complete, as before that they may deem the outcome to be uncertain.</w:t>
      </w:r>
    </w:p>
    <w:p w14:paraId="41B9739F" w14:textId="0D2ADAF1" w:rsidR="0027737F" w:rsidRDefault="0027737F" w:rsidP="00A24359">
      <w:pPr>
        <w:pStyle w:val="NormalWeb"/>
        <w:spacing w:after="210" w:afterAutospacing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Finally, losses should be recognised in full as soon as they are expected. For example, if a business looks at the total contract value of a project and compares it to costs already incurred</w:t>
      </w:r>
      <w:r w:rsidR="002F2089">
        <w:rPr>
          <w:rFonts w:ascii="Arial" w:hAnsi="Arial"/>
          <w:sz w:val="20"/>
          <w:szCs w:val="20"/>
        </w:rPr>
        <w:t>, plus those it expects to incur to finish the project, and this shows that the project will make a loss, the entire amount of the loss should be recognised now, even if the project is only partially complete.</w:t>
      </w:r>
    </w:p>
    <w:p w14:paraId="51A7D9ED" w14:textId="0E226A85" w:rsidR="00CC329E" w:rsidRPr="00CC329E" w:rsidRDefault="00CC329E" w:rsidP="00A24359">
      <w:pPr>
        <w:pStyle w:val="NormalWeb"/>
        <w:spacing w:after="210" w:afterAutospacing="0"/>
        <w:rPr>
          <w:rFonts w:ascii="Arial" w:eastAsia="Arial" w:hAnsi="Arial" w:cs="Arial"/>
          <w:sz w:val="28"/>
          <w:szCs w:val="28"/>
        </w:rPr>
      </w:pPr>
      <w:r w:rsidRPr="00CC329E">
        <w:rPr>
          <w:rFonts w:ascii="Arial" w:eastAsia="Arial" w:hAnsi="Arial" w:cs="Arial"/>
          <w:sz w:val="28"/>
          <w:szCs w:val="28"/>
        </w:rPr>
        <w:t>Cost Value Reconciliations (CVR)</w:t>
      </w:r>
    </w:p>
    <w:p w14:paraId="22D33E04" w14:textId="37BFE254" w:rsidR="00DB0FE2" w:rsidRDefault="001C7563" w:rsidP="00A24359">
      <w:pPr>
        <w:pStyle w:val="NormalWeb"/>
        <w:spacing w:after="210" w:afterAutospacing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So</w:t>
      </w:r>
      <w:r w:rsidR="00785B63">
        <w:rPr>
          <w:rFonts w:ascii="Arial" w:hAnsi="Arial"/>
          <w:sz w:val="20"/>
          <w:szCs w:val="20"/>
        </w:rPr>
        <w:t>,</w:t>
      </w:r>
      <w:r>
        <w:rPr>
          <w:rFonts w:ascii="Arial" w:hAnsi="Arial"/>
          <w:sz w:val="20"/>
          <w:szCs w:val="20"/>
        </w:rPr>
        <w:t xml:space="preserve"> for the </w:t>
      </w:r>
      <w:r w:rsidR="00F11CEB">
        <w:rPr>
          <w:rFonts w:ascii="Arial" w:hAnsi="Arial"/>
          <w:sz w:val="20"/>
          <w:szCs w:val="20"/>
        </w:rPr>
        <w:t xml:space="preserve">accounts of a business, there is a need to consider the state of completion of a project </w:t>
      </w:r>
      <w:r w:rsidR="00C11C90">
        <w:rPr>
          <w:rFonts w:ascii="Arial" w:hAnsi="Arial"/>
          <w:sz w:val="20"/>
          <w:szCs w:val="20"/>
        </w:rPr>
        <w:t xml:space="preserve">at each reporting date, as well as the total projected costs and ultimate profitability. </w:t>
      </w:r>
      <w:r w:rsidR="004B22AA">
        <w:rPr>
          <w:rFonts w:ascii="Arial" w:hAnsi="Arial"/>
          <w:sz w:val="20"/>
          <w:szCs w:val="20"/>
        </w:rPr>
        <w:t xml:space="preserve">This will get the accounts right and ensure the </w:t>
      </w:r>
      <w:r w:rsidR="00DB0FE2">
        <w:rPr>
          <w:rFonts w:ascii="Arial" w:hAnsi="Arial"/>
          <w:sz w:val="20"/>
          <w:szCs w:val="20"/>
        </w:rPr>
        <w:t xml:space="preserve">profit is correct </w:t>
      </w:r>
      <w:r w:rsidR="00CB3530">
        <w:rPr>
          <w:rFonts w:ascii="Arial" w:hAnsi="Arial"/>
          <w:sz w:val="20"/>
          <w:szCs w:val="20"/>
        </w:rPr>
        <w:t>as a basis f</w:t>
      </w:r>
      <w:r w:rsidR="00DB0FE2">
        <w:rPr>
          <w:rFonts w:ascii="Arial" w:hAnsi="Arial"/>
          <w:sz w:val="20"/>
          <w:szCs w:val="20"/>
        </w:rPr>
        <w:t>or tax purposes.</w:t>
      </w:r>
    </w:p>
    <w:p w14:paraId="6386BEB0" w14:textId="4A1BDADF" w:rsidR="00CC329E" w:rsidRDefault="00CB3530" w:rsidP="00A24359">
      <w:pPr>
        <w:pStyle w:val="NormalWeb"/>
        <w:spacing w:after="210" w:afterAutospacing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This</w:t>
      </w:r>
      <w:r w:rsidR="00785B63">
        <w:rPr>
          <w:rFonts w:ascii="Arial" w:hAnsi="Arial"/>
          <w:sz w:val="20"/>
          <w:szCs w:val="20"/>
        </w:rPr>
        <w:t xml:space="preserve"> kind of </w:t>
      </w:r>
      <w:r w:rsidR="000D1D9B">
        <w:rPr>
          <w:rFonts w:ascii="Arial" w:hAnsi="Arial"/>
          <w:sz w:val="20"/>
          <w:szCs w:val="20"/>
        </w:rPr>
        <w:t>analysis</w:t>
      </w:r>
      <w:r w:rsidR="00785B63">
        <w:rPr>
          <w:rFonts w:ascii="Arial" w:hAnsi="Arial"/>
          <w:sz w:val="20"/>
          <w:szCs w:val="20"/>
        </w:rPr>
        <w:t xml:space="preserve"> – what many call a </w:t>
      </w:r>
      <w:r w:rsidR="00CC329E" w:rsidRPr="00CC329E">
        <w:rPr>
          <w:rFonts w:ascii="Arial" w:hAnsi="Arial"/>
          <w:sz w:val="20"/>
          <w:szCs w:val="20"/>
        </w:rPr>
        <w:t xml:space="preserve">CVR </w:t>
      </w:r>
      <w:r w:rsidR="00785B63">
        <w:rPr>
          <w:rFonts w:ascii="Arial" w:hAnsi="Arial"/>
          <w:sz w:val="20"/>
          <w:szCs w:val="20"/>
        </w:rPr>
        <w:t xml:space="preserve">– is </w:t>
      </w:r>
      <w:r w:rsidR="001C6BFD">
        <w:rPr>
          <w:rFonts w:ascii="Arial" w:hAnsi="Arial"/>
          <w:sz w:val="20"/>
          <w:szCs w:val="20"/>
        </w:rPr>
        <w:t xml:space="preserve">also </w:t>
      </w:r>
      <w:r w:rsidR="00785B63">
        <w:rPr>
          <w:rFonts w:ascii="Arial" w:hAnsi="Arial"/>
          <w:sz w:val="20"/>
          <w:szCs w:val="20"/>
        </w:rPr>
        <w:t xml:space="preserve">vital as a management tool to ensure that </w:t>
      </w:r>
      <w:r w:rsidR="00DB0FE2">
        <w:rPr>
          <w:rFonts w:ascii="Arial" w:hAnsi="Arial"/>
          <w:sz w:val="20"/>
          <w:szCs w:val="20"/>
        </w:rPr>
        <w:t>the progress of p</w:t>
      </w:r>
      <w:r w:rsidR="00D26A62">
        <w:rPr>
          <w:rFonts w:ascii="Arial" w:hAnsi="Arial"/>
          <w:sz w:val="20"/>
          <w:szCs w:val="20"/>
        </w:rPr>
        <w:t>r</w:t>
      </w:r>
      <w:r w:rsidR="00DB0FE2">
        <w:rPr>
          <w:rFonts w:ascii="Arial" w:hAnsi="Arial"/>
          <w:sz w:val="20"/>
          <w:szCs w:val="20"/>
        </w:rPr>
        <w:t>ojec</w:t>
      </w:r>
      <w:r w:rsidR="00D26A62">
        <w:rPr>
          <w:rFonts w:ascii="Arial" w:hAnsi="Arial"/>
          <w:sz w:val="20"/>
          <w:szCs w:val="20"/>
        </w:rPr>
        <w:t>t</w:t>
      </w:r>
      <w:r w:rsidR="00DB0FE2">
        <w:rPr>
          <w:rFonts w:ascii="Arial" w:hAnsi="Arial"/>
          <w:sz w:val="20"/>
          <w:szCs w:val="20"/>
        </w:rPr>
        <w:t xml:space="preserve">s and their ultimate profitability is monitored. This is </w:t>
      </w:r>
      <w:r w:rsidR="00C05764">
        <w:rPr>
          <w:rFonts w:ascii="Arial" w:hAnsi="Arial"/>
          <w:sz w:val="20"/>
          <w:szCs w:val="20"/>
        </w:rPr>
        <w:t xml:space="preserve">particularly important in an inflationary environment and where </w:t>
      </w:r>
      <w:r w:rsidR="00D26A62">
        <w:rPr>
          <w:rFonts w:ascii="Arial" w:hAnsi="Arial"/>
          <w:sz w:val="20"/>
          <w:szCs w:val="20"/>
        </w:rPr>
        <w:t xml:space="preserve">there can be significant supply problems. Keeping the schedule of projected costs </w:t>
      </w:r>
      <w:r w:rsidR="000D1D9B">
        <w:rPr>
          <w:rFonts w:ascii="Arial" w:hAnsi="Arial"/>
          <w:sz w:val="20"/>
          <w:szCs w:val="20"/>
        </w:rPr>
        <w:t xml:space="preserve">up to date </w:t>
      </w:r>
      <w:r w:rsidR="00FE7F60">
        <w:rPr>
          <w:rFonts w:ascii="Arial" w:hAnsi="Arial"/>
          <w:sz w:val="20"/>
          <w:szCs w:val="20"/>
        </w:rPr>
        <w:t>enable</w:t>
      </w:r>
      <w:r w:rsidR="000D1D9B">
        <w:rPr>
          <w:rFonts w:ascii="Arial" w:hAnsi="Arial"/>
          <w:sz w:val="20"/>
          <w:szCs w:val="20"/>
        </w:rPr>
        <w:t>s</w:t>
      </w:r>
      <w:r w:rsidR="00FE7F60">
        <w:rPr>
          <w:rFonts w:ascii="Arial" w:hAnsi="Arial"/>
          <w:sz w:val="20"/>
          <w:szCs w:val="20"/>
        </w:rPr>
        <w:t xml:space="preserve"> management to identify where they need to work harder at cost control and </w:t>
      </w:r>
      <w:r w:rsidR="007D6AA2">
        <w:rPr>
          <w:rFonts w:ascii="Arial" w:hAnsi="Arial"/>
          <w:sz w:val="20"/>
          <w:szCs w:val="20"/>
        </w:rPr>
        <w:t>/</w:t>
      </w:r>
      <w:r w:rsidR="00FE7F60">
        <w:rPr>
          <w:rFonts w:ascii="Arial" w:hAnsi="Arial"/>
          <w:sz w:val="20"/>
          <w:szCs w:val="20"/>
        </w:rPr>
        <w:t xml:space="preserve"> or liaise with </w:t>
      </w:r>
      <w:r w:rsidR="007D6AA2">
        <w:rPr>
          <w:rFonts w:ascii="Arial" w:hAnsi="Arial"/>
          <w:sz w:val="20"/>
          <w:szCs w:val="20"/>
        </w:rPr>
        <w:t>c</w:t>
      </w:r>
      <w:r w:rsidR="00FE7F60">
        <w:rPr>
          <w:rFonts w:ascii="Arial" w:hAnsi="Arial"/>
          <w:sz w:val="20"/>
          <w:szCs w:val="20"/>
        </w:rPr>
        <w:t xml:space="preserve">lient </w:t>
      </w:r>
      <w:r w:rsidR="007D6AA2">
        <w:rPr>
          <w:rFonts w:ascii="Arial" w:hAnsi="Arial"/>
          <w:sz w:val="20"/>
          <w:szCs w:val="20"/>
        </w:rPr>
        <w:t>to discuss price changes.</w:t>
      </w:r>
      <w:r w:rsidR="00FE7F60">
        <w:rPr>
          <w:rFonts w:ascii="Arial" w:hAnsi="Arial"/>
          <w:sz w:val="20"/>
          <w:szCs w:val="20"/>
        </w:rPr>
        <w:t xml:space="preserve"> </w:t>
      </w:r>
    </w:p>
    <w:p w14:paraId="056BF3D9" w14:textId="6F3A3E72" w:rsidR="00ED7738" w:rsidRDefault="00394345" w:rsidP="00394345">
      <w:pPr>
        <w:spacing w:after="300"/>
        <w:rPr>
          <w:rFonts w:ascii="Arial" w:hAnsi="Arial"/>
          <w:sz w:val="20"/>
          <w:szCs w:val="20"/>
        </w:rPr>
      </w:pPr>
      <w:bookmarkStart w:id="0" w:name="_he7gwbhwfkuc" w:colFirst="0" w:colLast="0"/>
      <w:bookmarkEnd w:id="0"/>
      <w:r w:rsidRPr="0055166D">
        <w:rPr>
          <w:rFonts w:ascii="Arial" w:hAnsi="Arial"/>
          <w:sz w:val="28"/>
          <w:szCs w:val="28"/>
        </w:rPr>
        <w:t>Further information</w:t>
      </w:r>
      <w:r w:rsidR="00163FAC">
        <w:rPr>
          <w:rFonts w:ascii="Arial" w:hAnsi="Arial"/>
          <w:sz w:val="20"/>
          <w:szCs w:val="20"/>
        </w:rPr>
        <w:t xml:space="preserve"> </w:t>
      </w:r>
    </w:p>
    <w:p w14:paraId="59C8B944" w14:textId="20238F76" w:rsidR="00CA0768" w:rsidRPr="00402C5F" w:rsidRDefault="00CA0768" w:rsidP="00CA0768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If you need any help in carrying out Cost Value Reconciliations </w:t>
      </w:r>
      <w:r w:rsidR="007715AF">
        <w:rPr>
          <w:rFonts w:ascii="Arial" w:hAnsi="Arial"/>
          <w:sz w:val="20"/>
          <w:szCs w:val="20"/>
        </w:rPr>
        <w:t xml:space="preserve">(as there are a number of </w:t>
      </w:r>
      <w:r w:rsidR="00F23B84">
        <w:rPr>
          <w:rFonts w:ascii="Arial" w:hAnsi="Arial"/>
          <w:sz w:val="20"/>
          <w:szCs w:val="20"/>
        </w:rPr>
        <w:t>complications</w:t>
      </w:r>
      <w:r w:rsidR="007715AF">
        <w:rPr>
          <w:rFonts w:ascii="Arial" w:hAnsi="Arial"/>
          <w:sz w:val="20"/>
          <w:szCs w:val="20"/>
        </w:rPr>
        <w:t xml:space="preserve"> / options </w:t>
      </w:r>
      <w:r w:rsidR="00F23B84">
        <w:rPr>
          <w:rFonts w:ascii="Arial" w:hAnsi="Arial"/>
          <w:sz w:val="20"/>
          <w:szCs w:val="20"/>
        </w:rPr>
        <w:t>to consider in addition to the issues note</w:t>
      </w:r>
      <w:r w:rsidR="00D9791B">
        <w:rPr>
          <w:rFonts w:ascii="Arial" w:hAnsi="Arial"/>
          <w:sz w:val="20"/>
          <w:szCs w:val="20"/>
        </w:rPr>
        <w:t>d</w:t>
      </w:r>
      <w:r w:rsidR="00F23B84">
        <w:rPr>
          <w:rFonts w:ascii="Arial" w:hAnsi="Arial"/>
          <w:sz w:val="20"/>
          <w:szCs w:val="20"/>
        </w:rPr>
        <w:t xml:space="preserve"> above)</w:t>
      </w:r>
      <w:r w:rsidR="00A32800">
        <w:rPr>
          <w:rFonts w:ascii="Arial" w:hAnsi="Arial"/>
          <w:sz w:val="20"/>
          <w:szCs w:val="20"/>
        </w:rPr>
        <w:t xml:space="preserve">, </w:t>
      </w:r>
      <w:r>
        <w:rPr>
          <w:rFonts w:ascii="Arial" w:hAnsi="Arial"/>
          <w:sz w:val="20"/>
          <w:szCs w:val="20"/>
        </w:rPr>
        <w:t>please speak to us</w:t>
      </w:r>
      <w:r w:rsidR="00A32800">
        <w:rPr>
          <w:rFonts w:ascii="Arial" w:hAnsi="Arial"/>
          <w:sz w:val="20"/>
          <w:szCs w:val="20"/>
        </w:rPr>
        <w:t xml:space="preserve"> and w</w:t>
      </w:r>
      <w:r>
        <w:rPr>
          <w:rFonts w:ascii="Arial" w:hAnsi="Arial"/>
          <w:sz w:val="20"/>
          <w:szCs w:val="20"/>
        </w:rPr>
        <w:t>e will be happy to help.</w:t>
      </w:r>
    </w:p>
    <w:p w14:paraId="2820E423" w14:textId="5DF46647" w:rsidR="00D348C9" w:rsidRDefault="00D348C9" w:rsidP="00394345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In FRS 102, construction contracts are addressed from 23.17: </w:t>
      </w:r>
      <w:hyperlink r:id="rId9" w:history="1">
        <w:r w:rsidRPr="00D348C9">
          <w:rPr>
            <w:rStyle w:val="Hyperlink"/>
            <w:rFonts w:ascii="Arial" w:hAnsi="Arial"/>
            <w:sz w:val="20"/>
            <w:szCs w:val="20"/>
          </w:rPr>
          <w:t>https://www.frc.org.uk/library/standards-codes-policy/accounting-and-reporting/uk-accounting-standards/frs-102/</w:t>
        </w:r>
      </w:hyperlink>
    </w:p>
    <w:p w14:paraId="71944F8F" w14:textId="25EB7D78" w:rsidR="004573EF" w:rsidRDefault="00D348C9" w:rsidP="00394345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In FRS 105 (applicable to Micro-Entities), construction contracts are addressed from 18.16: </w:t>
      </w:r>
      <w:hyperlink r:id="rId10" w:history="1">
        <w:r w:rsidRPr="00D348C9">
          <w:rPr>
            <w:rStyle w:val="Hyperlink"/>
            <w:rFonts w:ascii="Arial" w:hAnsi="Arial"/>
            <w:sz w:val="20"/>
            <w:szCs w:val="20"/>
          </w:rPr>
          <w:t>https://www.frc.org.uk/library/standards-codes-policy/accounting-and-reporting/uk-accounting-standards/frs-105/</w:t>
        </w:r>
      </w:hyperlink>
    </w:p>
    <w:sectPr w:rsidR="004573EF">
      <w:headerReference w:type="default" r:id="rId11"/>
      <w:footerReference w:type="default" r:id="rId12"/>
      <w:pgSz w:w="11909" w:h="16834"/>
      <w:pgMar w:top="1275" w:right="1440" w:bottom="688" w:left="1440" w:header="720" w:footer="420" w:gutter="0"/>
      <w:pgNumType w:start="1"/>
      <w:cols w:num="2" w:space="720" w:equalWidth="0">
        <w:col w:w="4152" w:space="720"/>
        <w:col w:w="4152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A109E0" w14:textId="77777777" w:rsidR="00AC379D" w:rsidRDefault="00AC379D">
      <w:r>
        <w:separator/>
      </w:r>
    </w:p>
  </w:endnote>
  <w:endnote w:type="continuationSeparator" w:id="0">
    <w:p w14:paraId="3438A27B" w14:textId="77777777" w:rsidR="00AC379D" w:rsidRDefault="00AC37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822CF" w14:textId="77777777" w:rsidR="009C1A1D" w:rsidRDefault="009C1A1D">
    <w:pPr>
      <w:jc w:val="center"/>
      <w:rPr>
        <w:i/>
      </w:rPr>
    </w:pPr>
  </w:p>
  <w:p w14:paraId="3DDC24A9" w14:textId="77777777" w:rsidR="009C1A1D" w:rsidRDefault="00AC379D">
    <w:pPr>
      <w:jc w:val="center"/>
      <w:rPr>
        <w:i/>
      </w:rPr>
    </w:pPr>
    <w:r>
      <w:rPr>
        <w:noProof/>
      </w:rPr>
      <w:pict w14:anchorId="7FE8DD3E">
        <v:rect id="_x0000_i1025" alt="" style="width:451.3pt;height:.05pt;mso-width-percent:0;mso-height-percent:0;mso-width-percent:0;mso-height-percent:0" o:hralign="center" o:hrstd="t" o:hr="t" fillcolor="#a0a0a0" stroked="f"/>
      </w:pict>
    </w:r>
  </w:p>
  <w:p w14:paraId="4177297B" w14:textId="77777777" w:rsidR="009C1A1D" w:rsidRDefault="00DA4FB1">
    <w:pPr>
      <w:jc w:val="center"/>
      <w:rPr>
        <w:color w:val="999999"/>
        <w:sz w:val="20"/>
        <w:szCs w:val="20"/>
      </w:rPr>
    </w:pPr>
    <w:r>
      <w:rPr>
        <w:i/>
      </w:rPr>
      <w:t>We hope that you find this informative. Please contact us to discuss any matters further.</w:t>
    </w:r>
  </w:p>
  <w:p w14:paraId="137F3578" w14:textId="77777777" w:rsidR="009C1A1D" w:rsidRDefault="009C1A1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9415C2" w14:textId="77777777" w:rsidR="00AC379D" w:rsidRDefault="00AC379D">
      <w:r>
        <w:separator/>
      </w:r>
    </w:p>
  </w:footnote>
  <w:footnote w:type="continuationSeparator" w:id="0">
    <w:p w14:paraId="4B1A1B0C" w14:textId="77777777" w:rsidR="00AC379D" w:rsidRDefault="00AC37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508AEE" w14:textId="79F14785" w:rsidR="009C1A1D" w:rsidRDefault="00DA4FB1">
    <w:r>
      <w:rPr>
        <w:noProof/>
      </w:rPr>
      <w:drawing>
        <wp:anchor distT="0" distB="0" distL="114300" distR="114300" simplePos="0" relativeHeight="251659264" behindDoc="1" locked="0" layoutInCell="1" allowOverlap="1" wp14:anchorId="78312B0F" wp14:editId="22C4BB17">
          <wp:simplePos x="0" y="0"/>
          <wp:positionH relativeFrom="margin">
            <wp:posOffset>5238750</wp:posOffset>
          </wp:positionH>
          <wp:positionV relativeFrom="paragraph">
            <wp:posOffset>-333375</wp:posOffset>
          </wp:positionV>
          <wp:extent cx="429895" cy="628015"/>
          <wp:effectExtent l="0" t="0" r="8255" b="635"/>
          <wp:wrapTight wrapText="bothSides">
            <wp:wrapPolygon edited="0">
              <wp:start x="0" y="0"/>
              <wp:lineTo x="0" y="20967"/>
              <wp:lineTo x="21058" y="20967"/>
              <wp:lineTo x="21058" y="0"/>
              <wp:lineTo x="0" y="0"/>
            </wp:wrapPolygon>
          </wp:wrapTight>
          <wp:docPr id="367560114" name="Picture 3" descr="A picture containing font, graphics, text,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7560114" name="Picture 3" descr="A picture containing font, graphics, text,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9895" cy="628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114300" distB="114300" distL="114300" distR="114300" simplePos="0" relativeHeight="251658240" behindDoc="1" locked="0" layoutInCell="1" hidden="0" allowOverlap="1" wp14:anchorId="3E4504B6" wp14:editId="03D9F765">
          <wp:simplePos x="0" y="0"/>
          <wp:positionH relativeFrom="column">
            <wp:posOffset>1</wp:posOffset>
          </wp:positionH>
          <wp:positionV relativeFrom="paragraph">
            <wp:posOffset>-304799</wp:posOffset>
          </wp:positionV>
          <wp:extent cx="871538" cy="533329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71538" cy="5333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64F4D"/>
    <w:multiLevelType w:val="hybridMultilevel"/>
    <w:tmpl w:val="F4ECCB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640EA"/>
    <w:multiLevelType w:val="multilevel"/>
    <w:tmpl w:val="49281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1117EB9"/>
    <w:multiLevelType w:val="hybridMultilevel"/>
    <w:tmpl w:val="99886E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3F192C"/>
    <w:multiLevelType w:val="multilevel"/>
    <w:tmpl w:val="C7742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1295D67"/>
    <w:multiLevelType w:val="multilevel"/>
    <w:tmpl w:val="23B66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2597071"/>
    <w:multiLevelType w:val="multilevel"/>
    <w:tmpl w:val="FDA2C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2F41DEF"/>
    <w:multiLevelType w:val="multilevel"/>
    <w:tmpl w:val="3FFACB1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3494F0C"/>
    <w:multiLevelType w:val="multilevel"/>
    <w:tmpl w:val="B0C27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40D38AF"/>
    <w:multiLevelType w:val="hybridMultilevel"/>
    <w:tmpl w:val="AF56E3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1B65C5"/>
    <w:multiLevelType w:val="multilevel"/>
    <w:tmpl w:val="209C4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3C84859"/>
    <w:multiLevelType w:val="multilevel"/>
    <w:tmpl w:val="83282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CEC6057"/>
    <w:multiLevelType w:val="hybridMultilevel"/>
    <w:tmpl w:val="443037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C8056F"/>
    <w:multiLevelType w:val="multilevel"/>
    <w:tmpl w:val="3DA07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83E2D34"/>
    <w:multiLevelType w:val="multilevel"/>
    <w:tmpl w:val="CF7AF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8A45805"/>
    <w:multiLevelType w:val="hybridMultilevel"/>
    <w:tmpl w:val="000666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195A9D"/>
    <w:multiLevelType w:val="hybridMultilevel"/>
    <w:tmpl w:val="E41473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B66D98"/>
    <w:multiLevelType w:val="multilevel"/>
    <w:tmpl w:val="4E36D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7E44A8B"/>
    <w:multiLevelType w:val="multilevel"/>
    <w:tmpl w:val="DB2A8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B1F213A"/>
    <w:multiLevelType w:val="multilevel"/>
    <w:tmpl w:val="D01C6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9246213">
    <w:abstractNumId w:val="6"/>
  </w:num>
  <w:num w:numId="2" w16cid:durableId="1909992846">
    <w:abstractNumId w:val="18"/>
  </w:num>
  <w:num w:numId="3" w16cid:durableId="1761177254">
    <w:abstractNumId w:val="4"/>
  </w:num>
  <w:num w:numId="4" w16cid:durableId="1140920953">
    <w:abstractNumId w:val="15"/>
  </w:num>
  <w:num w:numId="5" w16cid:durableId="1158690403">
    <w:abstractNumId w:val="12"/>
  </w:num>
  <w:num w:numId="6" w16cid:durableId="14038207">
    <w:abstractNumId w:val="5"/>
  </w:num>
  <w:num w:numId="7" w16cid:durableId="1193960869">
    <w:abstractNumId w:val="16"/>
  </w:num>
  <w:num w:numId="8" w16cid:durableId="266892806">
    <w:abstractNumId w:val="8"/>
  </w:num>
  <w:num w:numId="9" w16cid:durableId="762411334">
    <w:abstractNumId w:val="0"/>
  </w:num>
  <w:num w:numId="10" w16cid:durableId="1740135011">
    <w:abstractNumId w:val="14"/>
  </w:num>
  <w:num w:numId="11" w16cid:durableId="2002659532">
    <w:abstractNumId w:val="10"/>
  </w:num>
  <w:num w:numId="12" w16cid:durableId="1106778948">
    <w:abstractNumId w:val="3"/>
  </w:num>
  <w:num w:numId="13" w16cid:durableId="577523780">
    <w:abstractNumId w:val="2"/>
  </w:num>
  <w:num w:numId="14" w16cid:durableId="2136437585">
    <w:abstractNumId w:val="17"/>
  </w:num>
  <w:num w:numId="15" w16cid:durableId="1715688679">
    <w:abstractNumId w:val="9"/>
  </w:num>
  <w:num w:numId="16" w16cid:durableId="1473861709">
    <w:abstractNumId w:val="7"/>
  </w:num>
  <w:num w:numId="17" w16cid:durableId="716470955">
    <w:abstractNumId w:val="1"/>
  </w:num>
  <w:num w:numId="18" w16cid:durableId="1611862382">
    <w:abstractNumId w:val="13"/>
  </w:num>
  <w:num w:numId="19" w16cid:durableId="4926004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A1D"/>
    <w:rsid w:val="00003922"/>
    <w:rsid w:val="00014026"/>
    <w:rsid w:val="000150CF"/>
    <w:rsid w:val="00025CF6"/>
    <w:rsid w:val="000319CA"/>
    <w:rsid w:val="00034DB5"/>
    <w:rsid w:val="0004794F"/>
    <w:rsid w:val="00056ADB"/>
    <w:rsid w:val="0006010A"/>
    <w:rsid w:val="000609D3"/>
    <w:rsid w:val="000623AB"/>
    <w:rsid w:val="000635FA"/>
    <w:rsid w:val="00066EB1"/>
    <w:rsid w:val="00072AD7"/>
    <w:rsid w:val="000850ED"/>
    <w:rsid w:val="000869F9"/>
    <w:rsid w:val="00095487"/>
    <w:rsid w:val="000A3E1B"/>
    <w:rsid w:val="000A42CB"/>
    <w:rsid w:val="000A594A"/>
    <w:rsid w:val="000B2217"/>
    <w:rsid w:val="000B2D45"/>
    <w:rsid w:val="000C2837"/>
    <w:rsid w:val="000D1D9B"/>
    <w:rsid w:val="000E3DB0"/>
    <w:rsid w:val="000E3F37"/>
    <w:rsid w:val="000E44F9"/>
    <w:rsid w:val="001019FB"/>
    <w:rsid w:val="00102A13"/>
    <w:rsid w:val="00103B33"/>
    <w:rsid w:val="00103F78"/>
    <w:rsid w:val="001066A5"/>
    <w:rsid w:val="00112CA4"/>
    <w:rsid w:val="00113484"/>
    <w:rsid w:val="0012371B"/>
    <w:rsid w:val="00143A79"/>
    <w:rsid w:val="00151E9D"/>
    <w:rsid w:val="0015379F"/>
    <w:rsid w:val="00153C3B"/>
    <w:rsid w:val="001633CD"/>
    <w:rsid w:val="00163FAC"/>
    <w:rsid w:val="001735F1"/>
    <w:rsid w:val="00174A2A"/>
    <w:rsid w:val="001837CB"/>
    <w:rsid w:val="0018725E"/>
    <w:rsid w:val="001A1856"/>
    <w:rsid w:val="001C6BFD"/>
    <w:rsid w:val="001C7563"/>
    <w:rsid w:val="001D0726"/>
    <w:rsid w:val="001D2707"/>
    <w:rsid w:val="001D69E6"/>
    <w:rsid w:val="001F666C"/>
    <w:rsid w:val="00203440"/>
    <w:rsid w:val="00223637"/>
    <w:rsid w:val="0022384B"/>
    <w:rsid w:val="00246092"/>
    <w:rsid w:val="00251427"/>
    <w:rsid w:val="00262C5C"/>
    <w:rsid w:val="00274C2F"/>
    <w:rsid w:val="00276AE8"/>
    <w:rsid w:val="00276CA0"/>
    <w:rsid w:val="0027737F"/>
    <w:rsid w:val="00282A53"/>
    <w:rsid w:val="002840F2"/>
    <w:rsid w:val="00292B55"/>
    <w:rsid w:val="00293C0D"/>
    <w:rsid w:val="002A1586"/>
    <w:rsid w:val="002B0D92"/>
    <w:rsid w:val="002B3A98"/>
    <w:rsid w:val="002C792A"/>
    <w:rsid w:val="002D7DB6"/>
    <w:rsid w:val="002E17D6"/>
    <w:rsid w:val="002E5C20"/>
    <w:rsid w:val="002F2089"/>
    <w:rsid w:val="003116AE"/>
    <w:rsid w:val="00315A91"/>
    <w:rsid w:val="003167D3"/>
    <w:rsid w:val="00323877"/>
    <w:rsid w:val="00331291"/>
    <w:rsid w:val="00332C99"/>
    <w:rsid w:val="00337DE4"/>
    <w:rsid w:val="00344449"/>
    <w:rsid w:val="00344A1C"/>
    <w:rsid w:val="0034751C"/>
    <w:rsid w:val="0035251B"/>
    <w:rsid w:val="00354178"/>
    <w:rsid w:val="003635DD"/>
    <w:rsid w:val="0036639E"/>
    <w:rsid w:val="0037270B"/>
    <w:rsid w:val="00372BF4"/>
    <w:rsid w:val="00373EB2"/>
    <w:rsid w:val="00373F76"/>
    <w:rsid w:val="00374E16"/>
    <w:rsid w:val="00380C5B"/>
    <w:rsid w:val="00383F28"/>
    <w:rsid w:val="0038630C"/>
    <w:rsid w:val="0039058A"/>
    <w:rsid w:val="00390636"/>
    <w:rsid w:val="00394345"/>
    <w:rsid w:val="003A4D6E"/>
    <w:rsid w:val="003B3248"/>
    <w:rsid w:val="003B3C23"/>
    <w:rsid w:val="003C7E1D"/>
    <w:rsid w:val="003D0579"/>
    <w:rsid w:val="003D0DC0"/>
    <w:rsid w:val="00402C5F"/>
    <w:rsid w:val="004054E6"/>
    <w:rsid w:val="00406716"/>
    <w:rsid w:val="00410BCE"/>
    <w:rsid w:val="00413079"/>
    <w:rsid w:val="00421CCC"/>
    <w:rsid w:val="0043735F"/>
    <w:rsid w:val="004408EA"/>
    <w:rsid w:val="00451925"/>
    <w:rsid w:val="00456F00"/>
    <w:rsid w:val="004573EF"/>
    <w:rsid w:val="00475B15"/>
    <w:rsid w:val="0047641C"/>
    <w:rsid w:val="00480B7B"/>
    <w:rsid w:val="00486A62"/>
    <w:rsid w:val="004A2FE9"/>
    <w:rsid w:val="004A37AF"/>
    <w:rsid w:val="004B22AA"/>
    <w:rsid w:val="004B3F0A"/>
    <w:rsid w:val="004B5485"/>
    <w:rsid w:val="004C3509"/>
    <w:rsid w:val="004D43F0"/>
    <w:rsid w:val="004E2E34"/>
    <w:rsid w:val="004F7614"/>
    <w:rsid w:val="005019BA"/>
    <w:rsid w:val="0050269F"/>
    <w:rsid w:val="00507584"/>
    <w:rsid w:val="00507BA2"/>
    <w:rsid w:val="0052152D"/>
    <w:rsid w:val="00523E31"/>
    <w:rsid w:val="00526D13"/>
    <w:rsid w:val="005329FE"/>
    <w:rsid w:val="00532D69"/>
    <w:rsid w:val="00546D55"/>
    <w:rsid w:val="0055704C"/>
    <w:rsid w:val="00560827"/>
    <w:rsid w:val="005615EB"/>
    <w:rsid w:val="005630C3"/>
    <w:rsid w:val="00576B01"/>
    <w:rsid w:val="005876F3"/>
    <w:rsid w:val="00591155"/>
    <w:rsid w:val="00591D66"/>
    <w:rsid w:val="00591E34"/>
    <w:rsid w:val="005A0BFD"/>
    <w:rsid w:val="005A53F7"/>
    <w:rsid w:val="005C38D9"/>
    <w:rsid w:val="005C563B"/>
    <w:rsid w:val="005C6B5B"/>
    <w:rsid w:val="005C7468"/>
    <w:rsid w:val="005C7E1A"/>
    <w:rsid w:val="005E3A0C"/>
    <w:rsid w:val="005F1566"/>
    <w:rsid w:val="005F79AD"/>
    <w:rsid w:val="00610D21"/>
    <w:rsid w:val="00615BEA"/>
    <w:rsid w:val="00632B66"/>
    <w:rsid w:val="006346A7"/>
    <w:rsid w:val="00635545"/>
    <w:rsid w:val="006510F1"/>
    <w:rsid w:val="00656886"/>
    <w:rsid w:val="00661B69"/>
    <w:rsid w:val="0067693F"/>
    <w:rsid w:val="006778DF"/>
    <w:rsid w:val="00681A77"/>
    <w:rsid w:val="006847F4"/>
    <w:rsid w:val="00694848"/>
    <w:rsid w:val="006A082E"/>
    <w:rsid w:val="006B3391"/>
    <w:rsid w:val="006B758B"/>
    <w:rsid w:val="006C7936"/>
    <w:rsid w:val="006D36C7"/>
    <w:rsid w:val="006E1EE6"/>
    <w:rsid w:val="006E2F41"/>
    <w:rsid w:val="006E5AF8"/>
    <w:rsid w:val="006E606A"/>
    <w:rsid w:val="006E6552"/>
    <w:rsid w:val="006E6D29"/>
    <w:rsid w:val="007037CD"/>
    <w:rsid w:val="00712A9D"/>
    <w:rsid w:val="007133C0"/>
    <w:rsid w:val="00713C4B"/>
    <w:rsid w:val="007361B8"/>
    <w:rsid w:val="00745702"/>
    <w:rsid w:val="00750065"/>
    <w:rsid w:val="00761F2B"/>
    <w:rsid w:val="007649C3"/>
    <w:rsid w:val="007715AF"/>
    <w:rsid w:val="00774650"/>
    <w:rsid w:val="00775717"/>
    <w:rsid w:val="00785B63"/>
    <w:rsid w:val="0078605A"/>
    <w:rsid w:val="0079128E"/>
    <w:rsid w:val="007A1708"/>
    <w:rsid w:val="007A4C4C"/>
    <w:rsid w:val="007C3767"/>
    <w:rsid w:val="007D4FD7"/>
    <w:rsid w:val="007D6471"/>
    <w:rsid w:val="007D6AA2"/>
    <w:rsid w:val="007E5F58"/>
    <w:rsid w:val="007F4075"/>
    <w:rsid w:val="00801B42"/>
    <w:rsid w:val="008116C1"/>
    <w:rsid w:val="008171F1"/>
    <w:rsid w:val="00824394"/>
    <w:rsid w:val="00825B1E"/>
    <w:rsid w:val="008323BE"/>
    <w:rsid w:val="008325C7"/>
    <w:rsid w:val="008332CC"/>
    <w:rsid w:val="00833E64"/>
    <w:rsid w:val="00851180"/>
    <w:rsid w:val="0085136E"/>
    <w:rsid w:val="00852F84"/>
    <w:rsid w:val="00865627"/>
    <w:rsid w:val="00871866"/>
    <w:rsid w:val="008718BC"/>
    <w:rsid w:val="00876480"/>
    <w:rsid w:val="00895156"/>
    <w:rsid w:val="008966BE"/>
    <w:rsid w:val="008C6BCE"/>
    <w:rsid w:val="008C735D"/>
    <w:rsid w:val="008E3615"/>
    <w:rsid w:val="008E4E45"/>
    <w:rsid w:val="00901425"/>
    <w:rsid w:val="009232EF"/>
    <w:rsid w:val="00932A8A"/>
    <w:rsid w:val="00936349"/>
    <w:rsid w:val="009405D5"/>
    <w:rsid w:val="00960927"/>
    <w:rsid w:val="00981CE0"/>
    <w:rsid w:val="00981F37"/>
    <w:rsid w:val="009852A0"/>
    <w:rsid w:val="00993B31"/>
    <w:rsid w:val="009A0D96"/>
    <w:rsid w:val="009B3706"/>
    <w:rsid w:val="009B4731"/>
    <w:rsid w:val="009C1A1D"/>
    <w:rsid w:val="009C4984"/>
    <w:rsid w:val="009D6F84"/>
    <w:rsid w:val="009E53D7"/>
    <w:rsid w:val="009F088D"/>
    <w:rsid w:val="00A00C64"/>
    <w:rsid w:val="00A10310"/>
    <w:rsid w:val="00A122B3"/>
    <w:rsid w:val="00A15461"/>
    <w:rsid w:val="00A16323"/>
    <w:rsid w:val="00A172D6"/>
    <w:rsid w:val="00A21B46"/>
    <w:rsid w:val="00A21FA0"/>
    <w:rsid w:val="00A24359"/>
    <w:rsid w:val="00A32800"/>
    <w:rsid w:val="00A346E0"/>
    <w:rsid w:val="00A417B5"/>
    <w:rsid w:val="00A544F2"/>
    <w:rsid w:val="00A65C70"/>
    <w:rsid w:val="00A7298E"/>
    <w:rsid w:val="00A77573"/>
    <w:rsid w:val="00A8452A"/>
    <w:rsid w:val="00AA05E9"/>
    <w:rsid w:val="00AA4434"/>
    <w:rsid w:val="00AA6795"/>
    <w:rsid w:val="00AB31AC"/>
    <w:rsid w:val="00AC03F9"/>
    <w:rsid w:val="00AC1CE0"/>
    <w:rsid w:val="00AC343C"/>
    <w:rsid w:val="00AC379D"/>
    <w:rsid w:val="00AC5F27"/>
    <w:rsid w:val="00AD0A86"/>
    <w:rsid w:val="00AE5057"/>
    <w:rsid w:val="00AE687E"/>
    <w:rsid w:val="00B0111E"/>
    <w:rsid w:val="00B05CFC"/>
    <w:rsid w:val="00B07E54"/>
    <w:rsid w:val="00B10379"/>
    <w:rsid w:val="00B24206"/>
    <w:rsid w:val="00B250F7"/>
    <w:rsid w:val="00B42606"/>
    <w:rsid w:val="00B50D93"/>
    <w:rsid w:val="00B5573C"/>
    <w:rsid w:val="00B569FA"/>
    <w:rsid w:val="00B66907"/>
    <w:rsid w:val="00B7105D"/>
    <w:rsid w:val="00B822BA"/>
    <w:rsid w:val="00B9164A"/>
    <w:rsid w:val="00B928CD"/>
    <w:rsid w:val="00BA373E"/>
    <w:rsid w:val="00BB155C"/>
    <w:rsid w:val="00BB2A33"/>
    <w:rsid w:val="00BC365C"/>
    <w:rsid w:val="00BC74A2"/>
    <w:rsid w:val="00BE5A5A"/>
    <w:rsid w:val="00C0108B"/>
    <w:rsid w:val="00C05764"/>
    <w:rsid w:val="00C11C90"/>
    <w:rsid w:val="00C2078C"/>
    <w:rsid w:val="00C31CD9"/>
    <w:rsid w:val="00C33C24"/>
    <w:rsid w:val="00C3514E"/>
    <w:rsid w:val="00C438FD"/>
    <w:rsid w:val="00C47D7B"/>
    <w:rsid w:val="00C80ABA"/>
    <w:rsid w:val="00C82D9E"/>
    <w:rsid w:val="00C96D82"/>
    <w:rsid w:val="00CA0768"/>
    <w:rsid w:val="00CA6EA0"/>
    <w:rsid w:val="00CB3530"/>
    <w:rsid w:val="00CB3B9C"/>
    <w:rsid w:val="00CC329E"/>
    <w:rsid w:val="00CD4E6E"/>
    <w:rsid w:val="00CD60CC"/>
    <w:rsid w:val="00CD6939"/>
    <w:rsid w:val="00CE59C1"/>
    <w:rsid w:val="00CF0695"/>
    <w:rsid w:val="00CF1083"/>
    <w:rsid w:val="00CF35DB"/>
    <w:rsid w:val="00D140C8"/>
    <w:rsid w:val="00D160EF"/>
    <w:rsid w:val="00D1783E"/>
    <w:rsid w:val="00D26A62"/>
    <w:rsid w:val="00D32BB5"/>
    <w:rsid w:val="00D348C9"/>
    <w:rsid w:val="00D35F17"/>
    <w:rsid w:val="00D37CEF"/>
    <w:rsid w:val="00D41D88"/>
    <w:rsid w:val="00D62D73"/>
    <w:rsid w:val="00D76C81"/>
    <w:rsid w:val="00D86579"/>
    <w:rsid w:val="00D86BD1"/>
    <w:rsid w:val="00D940C8"/>
    <w:rsid w:val="00D96AD0"/>
    <w:rsid w:val="00D9791B"/>
    <w:rsid w:val="00DA4FB1"/>
    <w:rsid w:val="00DA5562"/>
    <w:rsid w:val="00DA598D"/>
    <w:rsid w:val="00DA7042"/>
    <w:rsid w:val="00DB0FE2"/>
    <w:rsid w:val="00DB387D"/>
    <w:rsid w:val="00DD3E5A"/>
    <w:rsid w:val="00DE391A"/>
    <w:rsid w:val="00DE4284"/>
    <w:rsid w:val="00DF2661"/>
    <w:rsid w:val="00DF61CC"/>
    <w:rsid w:val="00DF7F64"/>
    <w:rsid w:val="00E07FA1"/>
    <w:rsid w:val="00E10776"/>
    <w:rsid w:val="00E12C96"/>
    <w:rsid w:val="00E179C2"/>
    <w:rsid w:val="00E21A8E"/>
    <w:rsid w:val="00E2320F"/>
    <w:rsid w:val="00E31A7E"/>
    <w:rsid w:val="00E31C20"/>
    <w:rsid w:val="00E340AF"/>
    <w:rsid w:val="00E40279"/>
    <w:rsid w:val="00E407B1"/>
    <w:rsid w:val="00E40D7C"/>
    <w:rsid w:val="00E46362"/>
    <w:rsid w:val="00E4694B"/>
    <w:rsid w:val="00E60024"/>
    <w:rsid w:val="00E6503B"/>
    <w:rsid w:val="00E677C3"/>
    <w:rsid w:val="00E76C6F"/>
    <w:rsid w:val="00E90E50"/>
    <w:rsid w:val="00E95564"/>
    <w:rsid w:val="00EB721D"/>
    <w:rsid w:val="00EC13C6"/>
    <w:rsid w:val="00EC2E9C"/>
    <w:rsid w:val="00ED10E1"/>
    <w:rsid w:val="00ED2E3F"/>
    <w:rsid w:val="00ED3657"/>
    <w:rsid w:val="00ED7738"/>
    <w:rsid w:val="00EE3100"/>
    <w:rsid w:val="00EE6B1A"/>
    <w:rsid w:val="00EF0C32"/>
    <w:rsid w:val="00EF204A"/>
    <w:rsid w:val="00F01CD5"/>
    <w:rsid w:val="00F03B80"/>
    <w:rsid w:val="00F11CEB"/>
    <w:rsid w:val="00F23B84"/>
    <w:rsid w:val="00F2620A"/>
    <w:rsid w:val="00F32BAA"/>
    <w:rsid w:val="00F32F4B"/>
    <w:rsid w:val="00F43119"/>
    <w:rsid w:val="00F57B04"/>
    <w:rsid w:val="00F64D88"/>
    <w:rsid w:val="00F70823"/>
    <w:rsid w:val="00F74149"/>
    <w:rsid w:val="00F81BC2"/>
    <w:rsid w:val="00F84AA4"/>
    <w:rsid w:val="00F9430C"/>
    <w:rsid w:val="00F97377"/>
    <w:rsid w:val="00FA06B6"/>
    <w:rsid w:val="00FB39B2"/>
    <w:rsid w:val="00FC692B"/>
    <w:rsid w:val="00FC7D0F"/>
    <w:rsid w:val="00FD4977"/>
    <w:rsid w:val="00FE14D9"/>
    <w:rsid w:val="00FE3D16"/>
    <w:rsid w:val="00FE7F60"/>
    <w:rsid w:val="00FF1F2C"/>
    <w:rsid w:val="00FF2647"/>
    <w:rsid w:val="00FF51E5"/>
    <w:rsid w:val="00FF7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D8E352"/>
  <w15:docId w15:val="{E73EE5DB-557B-0341-86D7-700848B26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2707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unhideWhenUsed/>
    <w:rsid w:val="00507584"/>
    <w:pPr>
      <w:spacing w:before="100" w:beforeAutospacing="1" w:after="100" w:afterAutospacing="1"/>
    </w:pPr>
  </w:style>
  <w:style w:type="character" w:styleId="CommentReference">
    <w:name w:val="annotation reference"/>
    <w:basedOn w:val="DefaultParagraphFont"/>
    <w:uiPriority w:val="99"/>
    <w:semiHidden/>
    <w:unhideWhenUsed/>
    <w:rsid w:val="007757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7571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7571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57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571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7571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571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B3F0A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3A4D6E"/>
    <w:rPr>
      <w:sz w:val="32"/>
      <w:szCs w:val="32"/>
    </w:rPr>
  </w:style>
  <w:style w:type="character" w:customStyle="1" w:styleId="apple-converted-space">
    <w:name w:val="apple-converted-space"/>
    <w:basedOn w:val="DefaultParagraphFont"/>
    <w:rsid w:val="003A4D6E"/>
  </w:style>
  <w:style w:type="character" w:styleId="Strong">
    <w:name w:val="Strong"/>
    <w:basedOn w:val="DefaultParagraphFont"/>
    <w:uiPriority w:val="22"/>
    <w:qFormat/>
    <w:rsid w:val="00A346E0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DA4FB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4FB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A4FB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4FB1"/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39434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0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1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01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0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48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195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730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16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816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24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41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225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7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www.frc.org.uk/library/standards-codes-policy/accounting-and-reporting/uk-accounting-standards/frs-105/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frc.org.uk/library/standards-codes-policy/accounting-and-reporting/uk-accounting-standards/frs-102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BFB84D2F7D7C4FBAEC38CD0ECE6169" ma:contentTypeVersion="18" ma:contentTypeDescription="Create a new document." ma:contentTypeScope="" ma:versionID="e5d6bd0a4bdf83ad50d76d904029c3a5">
  <xsd:schema xmlns:xsd="http://www.w3.org/2001/XMLSchema" xmlns:xs="http://www.w3.org/2001/XMLSchema" xmlns:p="http://schemas.microsoft.com/office/2006/metadata/properties" xmlns:ns2="4eeb76c0-1824-44cf-98ae-b6d0c7a63fb1" xmlns:ns3="89852fe5-8403-4d71-98b1-3957e8d62544" targetNamespace="http://schemas.microsoft.com/office/2006/metadata/properties" ma:root="true" ma:fieldsID="d4a969556a15f40fc84e8a8d65c5f30d" ns2:_="" ns3:_="">
    <xsd:import namespace="4eeb76c0-1824-44cf-98ae-b6d0c7a63fb1"/>
    <xsd:import namespace="89852fe5-8403-4d71-98b1-3957e8d625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eb76c0-1824-44cf-98ae-b6d0c7a63f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30e353b-1ed3-4f73-8d97-0dc2673dfc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852fe5-8403-4d71-98b1-3957e8d62544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1dd63c80-a7c1-4b1b-b215-05a894a26d5f}" ma:internalName="TaxCatchAll" ma:showField="CatchAllData" ma:web="89852fe5-8403-4d71-98b1-3957e8d625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BF4E073-647E-4A92-807B-2AE438B05A0D}"/>
</file>

<file path=customXml/itemProps2.xml><?xml version="1.0" encoding="utf-8"?>
<ds:datastoreItem xmlns:ds="http://schemas.openxmlformats.org/officeDocument/2006/customXml" ds:itemID="{C9BBD4F6-3B17-4E10-96CF-69282ABEF02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602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 Jones</dc:creator>
  <cp:lastModifiedBy>Emma Gilbert-Smith</cp:lastModifiedBy>
  <cp:revision>3</cp:revision>
  <dcterms:created xsi:type="dcterms:W3CDTF">2024-01-25T15:00:00Z</dcterms:created>
  <dcterms:modified xsi:type="dcterms:W3CDTF">2024-01-25T15:00:00Z</dcterms:modified>
</cp:coreProperties>
</file>