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AC1C" w14:textId="4FA75062" w:rsidR="00D32BB5" w:rsidRDefault="00087E83" w:rsidP="00D32BB5">
      <w:pPr>
        <w:spacing w:after="300"/>
        <w:rPr>
          <w:rFonts w:ascii="Arial" w:hAnsi="Arial" w:cs="Arial"/>
          <w:b/>
          <w:bCs/>
          <w:sz w:val="28"/>
          <w:szCs w:val="28"/>
        </w:rPr>
      </w:pPr>
      <w:r>
        <w:rPr>
          <w:rFonts w:ascii="Arial" w:hAnsi="Arial" w:cs="Arial"/>
          <w:b/>
          <w:bCs/>
          <w:sz w:val="28"/>
          <w:szCs w:val="28"/>
        </w:rPr>
        <w:t xml:space="preserve">Long stays </w:t>
      </w:r>
      <w:r w:rsidR="00F95D93">
        <w:rPr>
          <w:rFonts w:ascii="Arial" w:hAnsi="Arial" w:cs="Arial"/>
          <w:b/>
          <w:bCs/>
          <w:sz w:val="28"/>
          <w:szCs w:val="28"/>
        </w:rPr>
        <w:t>in holiday lets</w:t>
      </w:r>
    </w:p>
    <w:p w14:paraId="348DCB5B" w14:textId="4FC2CE0C" w:rsidR="00D32BB5" w:rsidRPr="00990A44" w:rsidRDefault="00317563" w:rsidP="00D32BB5">
      <w:pPr>
        <w:spacing w:after="300"/>
        <w:rPr>
          <w:rFonts w:ascii="Arial" w:hAnsi="Arial"/>
          <w:sz w:val="22"/>
          <w:szCs w:val="22"/>
        </w:rPr>
      </w:pPr>
      <w:r w:rsidRPr="00990A44">
        <w:rPr>
          <w:rFonts w:ascii="Arial" w:hAnsi="Arial"/>
          <w:sz w:val="22"/>
          <w:szCs w:val="22"/>
        </w:rPr>
        <w:t>This factsheet</w:t>
      </w:r>
      <w:r w:rsidR="00FC690C" w:rsidRPr="00990A44">
        <w:rPr>
          <w:rFonts w:ascii="Arial" w:hAnsi="Arial"/>
          <w:sz w:val="22"/>
          <w:szCs w:val="22"/>
        </w:rPr>
        <w:t xml:space="preserve"> considers the</w:t>
      </w:r>
      <w:r w:rsidR="003572D2" w:rsidRPr="00990A44">
        <w:rPr>
          <w:rFonts w:ascii="Arial" w:hAnsi="Arial"/>
          <w:sz w:val="22"/>
          <w:szCs w:val="22"/>
        </w:rPr>
        <w:t xml:space="preserve"> VAT</w:t>
      </w:r>
      <w:r w:rsidR="00FC690C" w:rsidRPr="00990A44">
        <w:rPr>
          <w:rFonts w:ascii="Arial" w:hAnsi="Arial"/>
          <w:sz w:val="22"/>
          <w:szCs w:val="22"/>
        </w:rPr>
        <w:t xml:space="preserve"> impact </w:t>
      </w:r>
      <w:r w:rsidR="002A23BB" w:rsidRPr="00990A44">
        <w:rPr>
          <w:rFonts w:ascii="Arial" w:hAnsi="Arial"/>
          <w:sz w:val="22"/>
          <w:szCs w:val="22"/>
        </w:rPr>
        <w:t xml:space="preserve">of allowing longer term lets (more than 28 days) in your </w:t>
      </w:r>
      <w:r w:rsidR="00BE73FC" w:rsidRPr="00990A44">
        <w:rPr>
          <w:rFonts w:ascii="Arial" w:hAnsi="Arial"/>
          <w:sz w:val="22"/>
          <w:szCs w:val="22"/>
        </w:rPr>
        <w:t>holiday property.</w:t>
      </w:r>
    </w:p>
    <w:p w14:paraId="02FD836A" w14:textId="0A0A7251" w:rsidR="00833E64" w:rsidRDefault="008720C8" w:rsidP="00833E64">
      <w:pPr>
        <w:spacing w:after="300"/>
        <w:rPr>
          <w:rFonts w:ascii="Arial" w:eastAsia="Arial" w:hAnsi="Arial" w:cs="Arial"/>
          <w:sz w:val="28"/>
          <w:szCs w:val="28"/>
        </w:rPr>
      </w:pPr>
      <w:bookmarkStart w:id="0" w:name="_he7gwbhwfkuc" w:colFirst="0" w:colLast="0"/>
      <w:bookmarkEnd w:id="0"/>
      <w:r>
        <w:rPr>
          <w:rFonts w:ascii="Arial" w:eastAsia="Arial" w:hAnsi="Arial" w:cs="Arial"/>
          <w:sz w:val="28"/>
          <w:szCs w:val="28"/>
        </w:rPr>
        <w:t>Value Added Tax</w:t>
      </w:r>
    </w:p>
    <w:p w14:paraId="5D8D95BF" w14:textId="21E0803F" w:rsidR="007F5338" w:rsidRPr="00990A44" w:rsidRDefault="003F4DB6" w:rsidP="00992A20">
      <w:pPr>
        <w:spacing w:after="300"/>
        <w:rPr>
          <w:rFonts w:ascii="Arial" w:hAnsi="Arial"/>
          <w:sz w:val="22"/>
          <w:szCs w:val="22"/>
        </w:rPr>
      </w:pPr>
      <w:r w:rsidRPr="00990A44">
        <w:rPr>
          <w:rFonts w:ascii="Arial" w:hAnsi="Arial"/>
          <w:sz w:val="22"/>
          <w:szCs w:val="22"/>
        </w:rPr>
        <w:t xml:space="preserve">Income </w:t>
      </w:r>
      <w:r w:rsidR="0056731D" w:rsidRPr="00990A44">
        <w:rPr>
          <w:rFonts w:ascii="Arial" w:hAnsi="Arial"/>
          <w:sz w:val="22"/>
          <w:szCs w:val="22"/>
        </w:rPr>
        <w:t>from holiday accommodation</w:t>
      </w:r>
      <w:r w:rsidR="0038299E" w:rsidRPr="00990A44">
        <w:rPr>
          <w:rFonts w:ascii="Arial" w:hAnsi="Arial"/>
          <w:sz w:val="22"/>
          <w:szCs w:val="22"/>
        </w:rPr>
        <w:t>,</w:t>
      </w:r>
      <w:r w:rsidR="0056731D" w:rsidRPr="00990A44">
        <w:rPr>
          <w:rFonts w:ascii="Arial" w:hAnsi="Arial"/>
          <w:sz w:val="22"/>
          <w:szCs w:val="22"/>
        </w:rPr>
        <w:t xml:space="preserve"> is subject to VAT at the standard rate of 20%.</w:t>
      </w:r>
      <w:r w:rsidR="007F5338" w:rsidRPr="00990A44">
        <w:rPr>
          <w:rFonts w:ascii="Arial" w:hAnsi="Arial"/>
          <w:sz w:val="22"/>
          <w:szCs w:val="22"/>
        </w:rPr>
        <w:t xml:space="preserve"> This applies to</w:t>
      </w:r>
      <w:r w:rsidR="001F7FE9" w:rsidRPr="00990A44">
        <w:rPr>
          <w:rFonts w:ascii="Arial" w:hAnsi="Arial"/>
          <w:sz w:val="22"/>
          <w:szCs w:val="22"/>
        </w:rPr>
        <w:t xml:space="preserve"> </w:t>
      </w:r>
      <w:r w:rsidR="00610E50" w:rsidRPr="00990A44">
        <w:rPr>
          <w:rFonts w:ascii="Arial" w:hAnsi="Arial"/>
          <w:sz w:val="22"/>
          <w:szCs w:val="22"/>
        </w:rPr>
        <w:t>holiday lettings</w:t>
      </w:r>
      <w:r w:rsidR="00EC10E4" w:rsidRPr="00990A44">
        <w:rPr>
          <w:rFonts w:ascii="Arial" w:hAnsi="Arial"/>
          <w:sz w:val="22"/>
          <w:szCs w:val="22"/>
        </w:rPr>
        <w:t xml:space="preserve"> </w:t>
      </w:r>
      <w:r w:rsidR="003B5476" w:rsidRPr="00990A44">
        <w:rPr>
          <w:rFonts w:ascii="Arial" w:hAnsi="Arial"/>
          <w:sz w:val="22"/>
          <w:szCs w:val="22"/>
        </w:rPr>
        <w:t xml:space="preserve">that are </w:t>
      </w:r>
      <w:r w:rsidR="0046707D" w:rsidRPr="00990A44">
        <w:rPr>
          <w:rFonts w:ascii="Arial" w:hAnsi="Arial"/>
          <w:sz w:val="22"/>
          <w:szCs w:val="22"/>
        </w:rPr>
        <w:t>advertised as being suitable for holiday or leisure purposes.</w:t>
      </w:r>
      <w:r w:rsidR="000143EE" w:rsidRPr="00990A44">
        <w:rPr>
          <w:rFonts w:ascii="Arial" w:hAnsi="Arial"/>
          <w:sz w:val="22"/>
          <w:szCs w:val="22"/>
        </w:rPr>
        <w:t xml:space="preserve"> In addition, </w:t>
      </w:r>
      <w:r w:rsidR="005E457D" w:rsidRPr="00990A44">
        <w:rPr>
          <w:rFonts w:ascii="Arial" w:hAnsi="Arial"/>
          <w:sz w:val="22"/>
          <w:szCs w:val="22"/>
        </w:rPr>
        <w:t>accommodation in ‘hotels, inns, boarding houses or similar establishments</w:t>
      </w:r>
      <w:r w:rsidR="001449E4" w:rsidRPr="00990A44">
        <w:rPr>
          <w:rFonts w:ascii="Arial" w:hAnsi="Arial"/>
          <w:sz w:val="22"/>
          <w:szCs w:val="22"/>
        </w:rPr>
        <w:t xml:space="preserve">’ is standard rated, as is the supply of </w:t>
      </w:r>
      <w:r w:rsidR="00985207" w:rsidRPr="00990A44">
        <w:rPr>
          <w:rFonts w:ascii="Arial" w:hAnsi="Arial"/>
          <w:sz w:val="22"/>
          <w:szCs w:val="22"/>
        </w:rPr>
        <w:t>chalets, tents</w:t>
      </w:r>
      <w:r w:rsidR="005630CB" w:rsidRPr="00990A44">
        <w:rPr>
          <w:rFonts w:ascii="Arial" w:hAnsi="Arial"/>
          <w:sz w:val="22"/>
          <w:szCs w:val="22"/>
        </w:rPr>
        <w:t xml:space="preserve"> and caravans and pitches for tents and caravans.</w:t>
      </w:r>
    </w:p>
    <w:p w14:paraId="25CD4E4D" w14:textId="35B60DD5" w:rsidR="00C84E2E" w:rsidRPr="00D31468" w:rsidRDefault="00C84E2E" w:rsidP="00D31468">
      <w:pPr>
        <w:pStyle w:val="NormalWeb"/>
        <w:spacing w:after="210" w:afterAutospacing="0"/>
        <w:rPr>
          <w:rFonts w:ascii="Arial" w:eastAsia="Arial" w:hAnsi="Arial" w:cs="Arial"/>
          <w:sz w:val="28"/>
          <w:szCs w:val="28"/>
        </w:rPr>
      </w:pPr>
      <w:r w:rsidRPr="00D31468">
        <w:rPr>
          <w:rFonts w:ascii="Arial" w:eastAsia="Arial" w:hAnsi="Arial" w:cs="Arial"/>
          <w:sz w:val="28"/>
          <w:szCs w:val="28"/>
        </w:rPr>
        <w:t>The reduced</w:t>
      </w:r>
      <w:r w:rsidR="005855B6">
        <w:rPr>
          <w:rFonts w:ascii="Arial" w:eastAsia="Arial" w:hAnsi="Arial" w:cs="Arial"/>
          <w:sz w:val="28"/>
          <w:szCs w:val="28"/>
        </w:rPr>
        <w:t xml:space="preserve"> </w:t>
      </w:r>
      <w:r w:rsidRPr="00D31468">
        <w:rPr>
          <w:rFonts w:ascii="Arial" w:eastAsia="Arial" w:hAnsi="Arial" w:cs="Arial"/>
          <w:sz w:val="28"/>
          <w:szCs w:val="28"/>
        </w:rPr>
        <w:t>value rule for long stays</w:t>
      </w:r>
    </w:p>
    <w:p w14:paraId="050A26FF" w14:textId="499CEDBA" w:rsidR="00C84E2E" w:rsidRPr="00990A44" w:rsidRDefault="00C84E2E" w:rsidP="00992A20">
      <w:pPr>
        <w:spacing w:after="300"/>
        <w:rPr>
          <w:rFonts w:ascii="Arial" w:hAnsi="Arial"/>
          <w:sz w:val="22"/>
          <w:szCs w:val="22"/>
        </w:rPr>
      </w:pPr>
      <w:r w:rsidRPr="00990A44">
        <w:rPr>
          <w:rFonts w:ascii="Arial" w:hAnsi="Arial"/>
          <w:sz w:val="22"/>
          <w:szCs w:val="22"/>
        </w:rPr>
        <w:t>T</w:t>
      </w:r>
      <w:r w:rsidR="004F3A77" w:rsidRPr="00990A44">
        <w:rPr>
          <w:rFonts w:ascii="Arial" w:hAnsi="Arial"/>
          <w:sz w:val="22"/>
          <w:szCs w:val="22"/>
        </w:rPr>
        <w:t xml:space="preserve">he reduced value rule is an easement that </w:t>
      </w:r>
      <w:r w:rsidR="005046F1" w:rsidRPr="00990A44">
        <w:rPr>
          <w:rFonts w:ascii="Arial" w:hAnsi="Arial"/>
          <w:sz w:val="22"/>
          <w:szCs w:val="22"/>
        </w:rPr>
        <w:t xml:space="preserve"> reduces the amount of VAT charged to guests who stay in </w:t>
      </w:r>
      <w:r w:rsidR="00273875" w:rsidRPr="00990A44">
        <w:rPr>
          <w:rFonts w:ascii="Arial" w:hAnsi="Arial"/>
          <w:sz w:val="22"/>
          <w:szCs w:val="22"/>
        </w:rPr>
        <w:t>‘hotels, inns, boarding houses or similar establishments’</w:t>
      </w:r>
      <w:r w:rsidR="00E113B3" w:rsidRPr="00990A44">
        <w:rPr>
          <w:rFonts w:ascii="Arial" w:hAnsi="Arial"/>
          <w:sz w:val="22"/>
          <w:szCs w:val="22"/>
        </w:rPr>
        <w:t xml:space="preserve"> for </w:t>
      </w:r>
      <w:r w:rsidR="004F33E2" w:rsidRPr="00990A44">
        <w:rPr>
          <w:rFonts w:ascii="Arial" w:hAnsi="Arial"/>
          <w:sz w:val="22"/>
          <w:szCs w:val="22"/>
        </w:rPr>
        <w:t xml:space="preserve">stays lasting </w:t>
      </w:r>
      <w:r w:rsidR="00E113B3" w:rsidRPr="00990A44">
        <w:rPr>
          <w:rFonts w:ascii="Arial" w:hAnsi="Arial"/>
          <w:sz w:val="22"/>
          <w:szCs w:val="22"/>
        </w:rPr>
        <w:t>more than 28 consecutive days</w:t>
      </w:r>
      <w:r w:rsidR="001172A9" w:rsidRPr="00990A44">
        <w:rPr>
          <w:rFonts w:ascii="Arial" w:hAnsi="Arial"/>
          <w:sz w:val="22"/>
          <w:szCs w:val="22"/>
        </w:rPr>
        <w:t>. It does not apply to long stays in other types of accommodation</w:t>
      </w:r>
      <w:r w:rsidR="006C1E6F" w:rsidRPr="00990A44">
        <w:rPr>
          <w:rFonts w:ascii="Arial" w:hAnsi="Arial"/>
          <w:sz w:val="22"/>
          <w:szCs w:val="22"/>
        </w:rPr>
        <w:t xml:space="preserve">, such as </w:t>
      </w:r>
      <w:r w:rsidR="00D728EB" w:rsidRPr="00990A44">
        <w:rPr>
          <w:rFonts w:ascii="Arial" w:hAnsi="Arial"/>
          <w:sz w:val="22"/>
          <w:szCs w:val="22"/>
        </w:rPr>
        <w:t>holiday lets</w:t>
      </w:r>
      <w:r w:rsidR="003E0966" w:rsidRPr="00990A44">
        <w:rPr>
          <w:rFonts w:ascii="Arial" w:hAnsi="Arial"/>
          <w:sz w:val="22"/>
          <w:szCs w:val="22"/>
        </w:rPr>
        <w:t xml:space="preserve">, although it </w:t>
      </w:r>
      <w:r w:rsidR="00D728EB" w:rsidRPr="00990A44">
        <w:rPr>
          <w:rFonts w:ascii="Arial" w:hAnsi="Arial"/>
          <w:sz w:val="22"/>
          <w:szCs w:val="22"/>
        </w:rPr>
        <w:t>can</w:t>
      </w:r>
      <w:r w:rsidR="003E0966" w:rsidRPr="00990A44">
        <w:rPr>
          <w:rFonts w:ascii="Arial" w:hAnsi="Arial"/>
          <w:sz w:val="22"/>
          <w:szCs w:val="22"/>
        </w:rPr>
        <w:t xml:space="preserve"> apply to</w:t>
      </w:r>
      <w:r w:rsidR="005855B6" w:rsidRPr="00990A44">
        <w:rPr>
          <w:rFonts w:ascii="Arial" w:hAnsi="Arial"/>
          <w:sz w:val="22"/>
          <w:szCs w:val="22"/>
        </w:rPr>
        <w:t xml:space="preserve"> supplies of serviced </w:t>
      </w:r>
      <w:r w:rsidR="00EE36E3" w:rsidRPr="00990A44">
        <w:rPr>
          <w:rFonts w:ascii="Arial" w:hAnsi="Arial"/>
          <w:sz w:val="22"/>
          <w:szCs w:val="22"/>
        </w:rPr>
        <w:t>apartments</w:t>
      </w:r>
      <w:r w:rsidR="001172A9" w:rsidRPr="00990A44">
        <w:rPr>
          <w:rFonts w:ascii="Arial" w:hAnsi="Arial"/>
          <w:sz w:val="22"/>
          <w:szCs w:val="22"/>
        </w:rPr>
        <w:t>.</w:t>
      </w:r>
    </w:p>
    <w:p w14:paraId="6BB06A19" w14:textId="2820DD0A" w:rsidR="001172A9" w:rsidRPr="005855B6" w:rsidRDefault="00D31468" w:rsidP="00992A20">
      <w:pPr>
        <w:spacing w:after="300"/>
        <w:rPr>
          <w:rFonts w:ascii="Arial" w:hAnsi="Arial"/>
          <w:b/>
          <w:bCs/>
          <w:sz w:val="20"/>
          <w:szCs w:val="20"/>
        </w:rPr>
      </w:pPr>
      <w:r w:rsidRPr="005855B6">
        <w:rPr>
          <w:rFonts w:ascii="Arial" w:hAnsi="Arial"/>
          <w:b/>
          <w:bCs/>
          <w:sz w:val="20"/>
          <w:szCs w:val="20"/>
        </w:rPr>
        <w:t xml:space="preserve">How </w:t>
      </w:r>
      <w:r w:rsidR="005855B6">
        <w:rPr>
          <w:rFonts w:ascii="Arial" w:hAnsi="Arial"/>
          <w:b/>
          <w:bCs/>
          <w:sz w:val="20"/>
          <w:szCs w:val="20"/>
        </w:rPr>
        <w:t>the reduced value rule</w:t>
      </w:r>
      <w:r w:rsidRPr="005855B6">
        <w:rPr>
          <w:rFonts w:ascii="Arial" w:hAnsi="Arial"/>
          <w:b/>
          <w:bCs/>
          <w:sz w:val="20"/>
          <w:szCs w:val="20"/>
        </w:rPr>
        <w:t xml:space="preserve"> works</w:t>
      </w:r>
    </w:p>
    <w:p w14:paraId="17E733B5" w14:textId="61D0D36C" w:rsidR="00A60D4C" w:rsidRPr="00990A44" w:rsidRDefault="00D31468" w:rsidP="00992A20">
      <w:pPr>
        <w:spacing w:after="300"/>
        <w:rPr>
          <w:rFonts w:ascii="Arial" w:hAnsi="Arial"/>
          <w:sz w:val="22"/>
          <w:szCs w:val="22"/>
        </w:rPr>
      </w:pPr>
      <w:r w:rsidRPr="00990A44">
        <w:rPr>
          <w:rFonts w:ascii="Arial" w:hAnsi="Arial"/>
          <w:sz w:val="22"/>
          <w:szCs w:val="22"/>
        </w:rPr>
        <w:t xml:space="preserve">From day 29 of the long stay, </w:t>
      </w:r>
      <w:r w:rsidR="00CF0D0C" w:rsidRPr="00990A44">
        <w:rPr>
          <w:rFonts w:ascii="Arial" w:hAnsi="Arial"/>
          <w:sz w:val="22"/>
          <w:szCs w:val="22"/>
        </w:rPr>
        <w:t>no VAT is charged on the accommodation element of the fee</w:t>
      </w:r>
      <w:r w:rsidR="009D0BAF" w:rsidRPr="00990A44">
        <w:rPr>
          <w:rFonts w:ascii="Arial" w:hAnsi="Arial"/>
          <w:sz w:val="22"/>
          <w:szCs w:val="22"/>
        </w:rPr>
        <w:t>. This means that an</w:t>
      </w:r>
      <w:r w:rsidR="00196DFD" w:rsidRPr="00990A44">
        <w:rPr>
          <w:rFonts w:ascii="Arial" w:hAnsi="Arial"/>
          <w:sz w:val="22"/>
          <w:szCs w:val="22"/>
        </w:rPr>
        <w:t>y</w:t>
      </w:r>
      <w:r w:rsidR="009D0BAF" w:rsidRPr="00990A44">
        <w:rPr>
          <w:rFonts w:ascii="Arial" w:hAnsi="Arial"/>
          <w:sz w:val="22"/>
          <w:szCs w:val="22"/>
        </w:rPr>
        <w:t xml:space="preserve"> element of the fee that relates to food</w:t>
      </w:r>
      <w:r w:rsidR="003B74AC" w:rsidRPr="00990A44">
        <w:rPr>
          <w:rFonts w:ascii="Arial" w:hAnsi="Arial"/>
          <w:sz w:val="22"/>
          <w:szCs w:val="22"/>
        </w:rPr>
        <w:t xml:space="preserve">, </w:t>
      </w:r>
      <w:r w:rsidR="009D0BAF" w:rsidRPr="00990A44">
        <w:rPr>
          <w:rFonts w:ascii="Arial" w:hAnsi="Arial"/>
          <w:sz w:val="22"/>
          <w:szCs w:val="22"/>
        </w:rPr>
        <w:t>drink</w:t>
      </w:r>
      <w:r w:rsidR="003B74AC" w:rsidRPr="00990A44">
        <w:rPr>
          <w:rFonts w:ascii="Arial" w:hAnsi="Arial"/>
          <w:sz w:val="22"/>
          <w:szCs w:val="22"/>
        </w:rPr>
        <w:t xml:space="preserve"> and other services</w:t>
      </w:r>
      <w:r w:rsidR="009D0BAF" w:rsidRPr="00990A44">
        <w:rPr>
          <w:rFonts w:ascii="Arial" w:hAnsi="Arial"/>
          <w:sz w:val="22"/>
          <w:szCs w:val="22"/>
        </w:rPr>
        <w:t xml:space="preserve"> </w:t>
      </w:r>
      <w:r w:rsidR="00AE31E4" w:rsidRPr="00990A44">
        <w:rPr>
          <w:rFonts w:ascii="Arial" w:hAnsi="Arial"/>
          <w:sz w:val="22"/>
          <w:szCs w:val="22"/>
        </w:rPr>
        <w:t>remains subject to VAT. Also, after charges for food and drink are removed, 20% of the remainder</w:t>
      </w:r>
      <w:r w:rsidR="007543BA" w:rsidRPr="00990A44">
        <w:rPr>
          <w:rFonts w:ascii="Arial" w:hAnsi="Arial"/>
          <w:sz w:val="22"/>
          <w:szCs w:val="22"/>
        </w:rPr>
        <w:t xml:space="preserve"> is deemed to be in respect of </w:t>
      </w:r>
      <w:r w:rsidR="00D27EB3" w:rsidRPr="00990A44">
        <w:rPr>
          <w:rFonts w:ascii="Arial" w:hAnsi="Arial"/>
          <w:sz w:val="22"/>
          <w:szCs w:val="22"/>
        </w:rPr>
        <w:t>service charges and is also subject to VAT.</w:t>
      </w:r>
      <w:r w:rsidR="00B50E48" w:rsidRPr="00990A44">
        <w:rPr>
          <w:rFonts w:ascii="Arial" w:hAnsi="Arial"/>
          <w:sz w:val="22"/>
          <w:szCs w:val="22"/>
        </w:rPr>
        <w:t xml:space="preserve"> In cases where the customer has no food or drink, </w:t>
      </w:r>
      <w:r w:rsidR="00721A74" w:rsidRPr="00990A44">
        <w:rPr>
          <w:rFonts w:ascii="Arial" w:hAnsi="Arial"/>
          <w:sz w:val="22"/>
          <w:szCs w:val="22"/>
        </w:rPr>
        <w:t>20% of the selling price is subject to VAT at the standard rate, giving an effective rate of 4% (20% of 20%).</w:t>
      </w:r>
    </w:p>
    <w:p w14:paraId="5408F55D" w14:textId="54FC93A8" w:rsidR="0056731D" w:rsidRPr="00990A44" w:rsidRDefault="00615EE6" w:rsidP="00992A20">
      <w:pPr>
        <w:spacing w:after="300"/>
        <w:rPr>
          <w:rFonts w:ascii="Arial" w:hAnsi="Arial"/>
          <w:sz w:val="22"/>
          <w:szCs w:val="22"/>
        </w:rPr>
      </w:pPr>
      <w:r w:rsidRPr="00990A44">
        <w:rPr>
          <w:rFonts w:ascii="Arial" w:hAnsi="Arial"/>
          <w:sz w:val="22"/>
          <w:szCs w:val="22"/>
        </w:rPr>
        <w:t>The portion of the fee that is not subject to VAT</w:t>
      </w:r>
      <w:r w:rsidR="00D3247B" w:rsidRPr="00990A44">
        <w:rPr>
          <w:rFonts w:ascii="Arial" w:hAnsi="Arial"/>
          <w:sz w:val="22"/>
          <w:szCs w:val="22"/>
        </w:rPr>
        <w:t xml:space="preserve"> is not </w:t>
      </w:r>
      <w:r w:rsidR="00A44E3A" w:rsidRPr="00990A44">
        <w:rPr>
          <w:rFonts w:ascii="Arial" w:hAnsi="Arial"/>
          <w:sz w:val="22"/>
          <w:szCs w:val="22"/>
        </w:rPr>
        <w:t>VAT-</w:t>
      </w:r>
      <w:r w:rsidR="00D3247B" w:rsidRPr="00990A44">
        <w:rPr>
          <w:rFonts w:ascii="Arial" w:hAnsi="Arial"/>
          <w:sz w:val="22"/>
          <w:szCs w:val="22"/>
        </w:rPr>
        <w:t xml:space="preserve">exempt; it is </w:t>
      </w:r>
      <w:r w:rsidR="006452CD" w:rsidRPr="00990A44">
        <w:rPr>
          <w:rFonts w:ascii="Arial" w:hAnsi="Arial"/>
          <w:sz w:val="22"/>
          <w:szCs w:val="22"/>
        </w:rPr>
        <w:t>deemed to be taxable for the purposes of reclaiming input tax</w:t>
      </w:r>
      <w:r w:rsidR="00FB6164" w:rsidRPr="00990A44">
        <w:rPr>
          <w:rFonts w:ascii="Arial" w:hAnsi="Arial"/>
          <w:sz w:val="22"/>
          <w:szCs w:val="22"/>
        </w:rPr>
        <w:t xml:space="preserve">. Input tax cannot be reclaimed if </w:t>
      </w:r>
      <w:r w:rsidR="00FB6164" w:rsidRPr="00990A44">
        <w:rPr>
          <w:rFonts w:ascii="Arial" w:hAnsi="Arial"/>
          <w:sz w:val="22"/>
          <w:szCs w:val="22"/>
        </w:rPr>
        <w:t xml:space="preserve">it were incurred in respect of exempt supplies, so this is an important distinction. </w:t>
      </w:r>
    </w:p>
    <w:p w14:paraId="014D0B66" w14:textId="0AF63220" w:rsidR="003D2D0C" w:rsidRPr="00990A44" w:rsidRDefault="003D2D0C" w:rsidP="00992A20">
      <w:pPr>
        <w:spacing w:after="300"/>
        <w:rPr>
          <w:rFonts w:ascii="Arial" w:hAnsi="Arial"/>
          <w:sz w:val="28"/>
          <w:szCs w:val="28"/>
        </w:rPr>
      </w:pPr>
      <w:r w:rsidRPr="00990A44">
        <w:rPr>
          <w:rFonts w:ascii="Arial" w:hAnsi="Arial"/>
          <w:sz w:val="28"/>
          <w:szCs w:val="28"/>
        </w:rPr>
        <w:t xml:space="preserve">Is the property </w:t>
      </w:r>
      <w:r w:rsidR="00D728EB" w:rsidRPr="00990A44">
        <w:rPr>
          <w:rFonts w:ascii="Arial" w:hAnsi="Arial"/>
          <w:sz w:val="28"/>
          <w:szCs w:val="28"/>
        </w:rPr>
        <w:t>a hotel, inn, boarding house or similar establishment?</w:t>
      </w:r>
    </w:p>
    <w:p w14:paraId="3609F5C8" w14:textId="46C0E660" w:rsidR="00D728EB" w:rsidRPr="00990A44" w:rsidRDefault="00D728EB" w:rsidP="00992A20">
      <w:pPr>
        <w:spacing w:after="300"/>
        <w:rPr>
          <w:rFonts w:ascii="Arial" w:hAnsi="Arial"/>
          <w:sz w:val="22"/>
          <w:szCs w:val="22"/>
        </w:rPr>
      </w:pPr>
      <w:r w:rsidRPr="00990A44">
        <w:rPr>
          <w:rFonts w:ascii="Arial" w:hAnsi="Arial"/>
          <w:sz w:val="22"/>
          <w:szCs w:val="22"/>
        </w:rPr>
        <w:t>The answer to the above question is not always clear-cut.</w:t>
      </w:r>
      <w:r w:rsidR="004E5F31" w:rsidRPr="00990A44">
        <w:rPr>
          <w:rFonts w:ascii="Arial" w:hAnsi="Arial"/>
          <w:sz w:val="22"/>
          <w:szCs w:val="22"/>
        </w:rPr>
        <w:t xml:space="preserve"> </w:t>
      </w:r>
      <w:r w:rsidR="00E3621D" w:rsidRPr="00990A44">
        <w:rPr>
          <w:rFonts w:ascii="Arial" w:hAnsi="Arial"/>
          <w:sz w:val="22"/>
          <w:szCs w:val="22"/>
        </w:rPr>
        <w:t xml:space="preserve">We can look at a 2024 First-Tier Tribunal case for clarification: </w:t>
      </w:r>
      <w:proofErr w:type="spellStart"/>
      <w:r w:rsidR="00E3621D" w:rsidRPr="00990A44">
        <w:rPr>
          <w:rFonts w:ascii="Arial" w:hAnsi="Arial"/>
          <w:sz w:val="22"/>
          <w:szCs w:val="22"/>
        </w:rPr>
        <w:t>Realreed</w:t>
      </w:r>
      <w:proofErr w:type="spellEnd"/>
      <w:r w:rsidR="001C0898" w:rsidRPr="00990A44">
        <w:rPr>
          <w:rFonts w:ascii="Arial" w:hAnsi="Arial"/>
          <w:sz w:val="22"/>
          <w:szCs w:val="22"/>
        </w:rPr>
        <w:t xml:space="preserve"> Ltd v HMRC.</w:t>
      </w:r>
    </w:p>
    <w:p w14:paraId="10B61A77" w14:textId="145AFADD" w:rsidR="001C0898" w:rsidRPr="00990A44" w:rsidRDefault="00D6158A" w:rsidP="00992A20">
      <w:pPr>
        <w:spacing w:after="300"/>
        <w:rPr>
          <w:rFonts w:ascii="Arial" w:hAnsi="Arial"/>
          <w:i/>
          <w:iCs/>
          <w:sz w:val="22"/>
          <w:szCs w:val="22"/>
        </w:rPr>
      </w:pPr>
      <w:r w:rsidRPr="00990A44">
        <w:rPr>
          <w:rFonts w:ascii="Arial" w:hAnsi="Arial"/>
          <w:sz w:val="22"/>
          <w:szCs w:val="22"/>
        </w:rPr>
        <w:t>Whilst this case did not consider whether or not a businesses was eligible to use</w:t>
      </w:r>
      <w:r w:rsidR="00EA0272" w:rsidRPr="00990A44">
        <w:rPr>
          <w:rFonts w:ascii="Arial" w:hAnsi="Arial"/>
          <w:sz w:val="22"/>
          <w:szCs w:val="22"/>
        </w:rPr>
        <w:t xml:space="preserve"> the reduced value rule</w:t>
      </w:r>
      <w:r w:rsidR="00FA33DF" w:rsidRPr="00990A44">
        <w:rPr>
          <w:rFonts w:ascii="Arial" w:hAnsi="Arial"/>
          <w:sz w:val="22"/>
          <w:szCs w:val="22"/>
        </w:rPr>
        <w:t xml:space="preserve">, it </w:t>
      </w:r>
      <w:r w:rsidR="00EA0272" w:rsidRPr="00990A44">
        <w:rPr>
          <w:rFonts w:ascii="Arial" w:hAnsi="Arial"/>
          <w:sz w:val="22"/>
          <w:szCs w:val="22"/>
        </w:rPr>
        <w:t>examined the definition of</w:t>
      </w:r>
      <w:r w:rsidR="00FA33DF" w:rsidRPr="00990A44">
        <w:rPr>
          <w:rFonts w:ascii="Arial" w:hAnsi="Arial"/>
          <w:sz w:val="22"/>
          <w:szCs w:val="22"/>
        </w:rPr>
        <w:t xml:space="preserve"> ‘similar</w:t>
      </w:r>
      <w:r w:rsidRPr="00990A44">
        <w:rPr>
          <w:rFonts w:ascii="Arial" w:hAnsi="Arial"/>
          <w:sz w:val="22"/>
          <w:szCs w:val="22"/>
        </w:rPr>
        <w:t xml:space="preserve"> est</w:t>
      </w:r>
      <w:r w:rsidR="00EA0272" w:rsidRPr="00990A44">
        <w:rPr>
          <w:rFonts w:ascii="Arial" w:hAnsi="Arial"/>
          <w:sz w:val="22"/>
          <w:szCs w:val="22"/>
        </w:rPr>
        <w:t xml:space="preserve">ablishment’, which </w:t>
      </w:r>
      <w:r w:rsidR="00241F65" w:rsidRPr="00990A44">
        <w:rPr>
          <w:rFonts w:ascii="Arial" w:hAnsi="Arial"/>
          <w:i/>
          <w:iCs/>
          <w:sz w:val="22"/>
          <w:szCs w:val="22"/>
        </w:rPr>
        <w:t>“includes premises in which there is provided furnished sleeping accommodation whether with or without the provision of board or facilities for the preparation of food, which are used or held out as being suitable for use by visitors or travellers”</w:t>
      </w:r>
      <w:r w:rsidR="00241F65" w:rsidRPr="00990A44">
        <w:rPr>
          <w:rFonts w:ascii="Arial" w:hAnsi="Arial"/>
          <w:i/>
          <w:iCs/>
          <w:sz w:val="22"/>
          <w:szCs w:val="22"/>
        </w:rPr>
        <w:t>.</w:t>
      </w:r>
    </w:p>
    <w:p w14:paraId="74C99684" w14:textId="2A908110" w:rsidR="00241F65" w:rsidRPr="00990A44" w:rsidRDefault="008F42D7" w:rsidP="00992A20">
      <w:pPr>
        <w:spacing w:after="300"/>
        <w:rPr>
          <w:rFonts w:ascii="Arial" w:hAnsi="Arial"/>
          <w:sz w:val="22"/>
          <w:szCs w:val="22"/>
        </w:rPr>
      </w:pPr>
      <w:r w:rsidRPr="00990A44">
        <w:rPr>
          <w:rFonts w:ascii="Arial" w:hAnsi="Arial"/>
          <w:sz w:val="22"/>
          <w:szCs w:val="22"/>
        </w:rPr>
        <w:t xml:space="preserve">It was found that </w:t>
      </w:r>
      <w:proofErr w:type="spellStart"/>
      <w:r w:rsidRPr="00990A44">
        <w:rPr>
          <w:rFonts w:ascii="Arial" w:hAnsi="Arial"/>
          <w:sz w:val="22"/>
          <w:szCs w:val="22"/>
        </w:rPr>
        <w:t>Realreed</w:t>
      </w:r>
      <w:proofErr w:type="spellEnd"/>
      <w:r w:rsidRPr="00990A44">
        <w:rPr>
          <w:rFonts w:ascii="Arial" w:hAnsi="Arial"/>
          <w:sz w:val="22"/>
          <w:szCs w:val="22"/>
        </w:rPr>
        <w:t xml:space="preserve"> </w:t>
      </w:r>
      <w:proofErr w:type="spellStart"/>
      <w:r w:rsidRPr="00990A44">
        <w:rPr>
          <w:rFonts w:ascii="Arial" w:hAnsi="Arial"/>
          <w:sz w:val="22"/>
          <w:szCs w:val="22"/>
        </w:rPr>
        <w:t>Ltd’s</w:t>
      </w:r>
      <w:proofErr w:type="spellEnd"/>
      <w:r w:rsidRPr="00990A44">
        <w:rPr>
          <w:rFonts w:ascii="Arial" w:hAnsi="Arial"/>
          <w:sz w:val="22"/>
          <w:szCs w:val="22"/>
        </w:rPr>
        <w:t xml:space="preserve"> serviced apartments</w:t>
      </w:r>
      <w:r w:rsidR="008C5EBA" w:rsidRPr="00990A44">
        <w:rPr>
          <w:rFonts w:ascii="Arial" w:hAnsi="Arial"/>
          <w:sz w:val="22"/>
          <w:szCs w:val="22"/>
        </w:rPr>
        <w:t xml:space="preserve"> were “ similar establishments”, in that the average length of </w:t>
      </w:r>
      <w:r w:rsidR="002533B1" w:rsidRPr="00990A44">
        <w:rPr>
          <w:rFonts w:ascii="Arial" w:hAnsi="Arial"/>
          <w:sz w:val="22"/>
          <w:szCs w:val="22"/>
        </w:rPr>
        <w:t>a stay was less than a fortnight, so guests could</w:t>
      </w:r>
      <w:r w:rsidR="00492823" w:rsidRPr="00990A44">
        <w:rPr>
          <w:rFonts w:ascii="Arial" w:hAnsi="Arial"/>
          <w:sz w:val="22"/>
          <w:szCs w:val="22"/>
        </w:rPr>
        <w:t xml:space="preserve"> be considered ‘visitors or travellers’ as they were not making the apartment their home.</w:t>
      </w:r>
    </w:p>
    <w:p w14:paraId="375EC16F" w14:textId="3A1BCB86" w:rsidR="003D2D0C" w:rsidRPr="00990A44" w:rsidRDefault="00492823" w:rsidP="00992A20">
      <w:pPr>
        <w:spacing w:after="300"/>
        <w:rPr>
          <w:rFonts w:ascii="Arial" w:hAnsi="Arial"/>
          <w:sz w:val="22"/>
          <w:szCs w:val="22"/>
        </w:rPr>
      </w:pPr>
      <w:r w:rsidRPr="00990A44">
        <w:rPr>
          <w:rFonts w:ascii="Arial" w:hAnsi="Arial"/>
          <w:sz w:val="22"/>
          <w:szCs w:val="22"/>
        </w:rPr>
        <w:t xml:space="preserve">Also, </w:t>
      </w:r>
      <w:r w:rsidR="009506FC" w:rsidRPr="00990A44">
        <w:rPr>
          <w:rFonts w:ascii="Arial" w:hAnsi="Arial"/>
          <w:sz w:val="22"/>
          <w:szCs w:val="22"/>
        </w:rPr>
        <w:t xml:space="preserve">it was found that </w:t>
      </w:r>
      <w:proofErr w:type="spellStart"/>
      <w:r w:rsidR="00CA6D08" w:rsidRPr="00990A44">
        <w:rPr>
          <w:rFonts w:ascii="Arial" w:hAnsi="Arial"/>
          <w:sz w:val="22"/>
          <w:szCs w:val="22"/>
        </w:rPr>
        <w:t>Realreed</w:t>
      </w:r>
      <w:proofErr w:type="spellEnd"/>
      <w:r w:rsidR="00CA6D08" w:rsidRPr="00990A44">
        <w:rPr>
          <w:rFonts w:ascii="Arial" w:hAnsi="Arial"/>
          <w:sz w:val="22"/>
          <w:szCs w:val="22"/>
        </w:rPr>
        <w:t xml:space="preserve"> provided services that</w:t>
      </w:r>
      <w:r w:rsidR="00200798" w:rsidRPr="00990A44">
        <w:rPr>
          <w:rFonts w:ascii="Arial" w:hAnsi="Arial"/>
          <w:sz w:val="22"/>
          <w:szCs w:val="22"/>
        </w:rPr>
        <w:t xml:space="preserve"> put </w:t>
      </w:r>
      <w:r w:rsidR="00990A44" w:rsidRPr="00990A44">
        <w:rPr>
          <w:rFonts w:ascii="Arial" w:hAnsi="Arial"/>
          <w:sz w:val="22"/>
          <w:szCs w:val="22"/>
        </w:rPr>
        <w:t xml:space="preserve">it in competition with an hotel </w:t>
      </w:r>
      <w:r w:rsidR="00200798" w:rsidRPr="00990A44">
        <w:rPr>
          <w:rFonts w:ascii="Arial" w:hAnsi="Arial"/>
          <w:sz w:val="22"/>
          <w:szCs w:val="22"/>
        </w:rPr>
        <w:t>(</w:t>
      </w:r>
      <w:r w:rsidR="00200798" w:rsidRPr="00990A44">
        <w:rPr>
          <w:rFonts w:ascii="Arial" w:hAnsi="Arial"/>
          <w:sz w:val="22"/>
          <w:szCs w:val="22"/>
        </w:rPr>
        <w:t>daily maid service, linen changing, cleaning, residents bar</w:t>
      </w:r>
      <w:r w:rsidR="00200798" w:rsidRPr="00990A44">
        <w:rPr>
          <w:rFonts w:ascii="Arial" w:hAnsi="Arial"/>
          <w:sz w:val="22"/>
          <w:szCs w:val="22"/>
        </w:rPr>
        <w:t xml:space="preserve"> and</w:t>
      </w:r>
      <w:r w:rsidR="00200798" w:rsidRPr="00990A44">
        <w:rPr>
          <w:rFonts w:ascii="Arial" w:hAnsi="Arial"/>
          <w:sz w:val="22"/>
          <w:szCs w:val="22"/>
        </w:rPr>
        <w:t xml:space="preserve"> concierge</w:t>
      </w:r>
      <w:r w:rsidR="00200798" w:rsidRPr="00990A44">
        <w:rPr>
          <w:rFonts w:ascii="Arial" w:hAnsi="Arial"/>
          <w:sz w:val="22"/>
          <w:szCs w:val="22"/>
        </w:rPr>
        <w:t>)</w:t>
      </w:r>
      <w:r w:rsidR="00990A44" w:rsidRPr="00990A44">
        <w:rPr>
          <w:rFonts w:ascii="Arial" w:hAnsi="Arial"/>
          <w:sz w:val="22"/>
          <w:szCs w:val="22"/>
        </w:rPr>
        <w:t>.</w:t>
      </w:r>
    </w:p>
    <w:p w14:paraId="056BF3D9" w14:textId="6F3A3E72" w:rsidR="00ED7738" w:rsidRDefault="00394345" w:rsidP="00394345">
      <w:pPr>
        <w:spacing w:after="300"/>
        <w:rPr>
          <w:rFonts w:ascii="Arial" w:hAnsi="Arial"/>
          <w:sz w:val="20"/>
          <w:szCs w:val="20"/>
        </w:rPr>
      </w:pPr>
      <w:r w:rsidRPr="0055166D">
        <w:rPr>
          <w:rFonts w:ascii="Arial" w:hAnsi="Arial"/>
          <w:sz w:val="28"/>
          <w:szCs w:val="28"/>
        </w:rPr>
        <w:t>Further information</w:t>
      </w:r>
      <w:r w:rsidR="00163FAC">
        <w:rPr>
          <w:rFonts w:ascii="Arial" w:hAnsi="Arial"/>
          <w:sz w:val="20"/>
          <w:szCs w:val="20"/>
        </w:rPr>
        <w:t xml:space="preserve"> </w:t>
      </w:r>
    </w:p>
    <w:p w14:paraId="2C4D4604" w14:textId="6AD4C3E7" w:rsidR="006921D6" w:rsidRDefault="006921D6" w:rsidP="00394345">
      <w:pPr>
        <w:spacing w:after="300"/>
        <w:rPr>
          <w:sz w:val="22"/>
          <w:szCs w:val="22"/>
        </w:rPr>
      </w:pPr>
      <w:r w:rsidRPr="00990A44">
        <w:rPr>
          <w:rFonts w:ascii="Arial" w:hAnsi="Arial"/>
          <w:sz w:val="22"/>
          <w:szCs w:val="22"/>
        </w:rPr>
        <w:t xml:space="preserve">Information on the reduced value rule can be found here: </w:t>
      </w:r>
      <w:hyperlink r:id="rId9" w:history="1">
        <w:r w:rsidR="009042FF" w:rsidRPr="00990A44">
          <w:rPr>
            <w:rStyle w:val="Hyperlink"/>
            <w:rFonts w:ascii="Arial" w:hAnsi="Arial"/>
            <w:sz w:val="22"/>
            <w:szCs w:val="22"/>
          </w:rPr>
          <w:t>https://www.gov.uk/guidance/hotels-holiday-accommodation-and-vat-notice-7093</w:t>
        </w:r>
      </w:hyperlink>
    </w:p>
    <w:p w14:paraId="1A49AF3B" w14:textId="2234EF13" w:rsidR="00914C55" w:rsidRPr="00990A44" w:rsidRDefault="00914C55" w:rsidP="00394345">
      <w:pPr>
        <w:spacing w:after="300"/>
        <w:rPr>
          <w:rFonts w:ascii="Arial" w:hAnsi="Arial"/>
          <w:sz w:val="22"/>
          <w:szCs w:val="22"/>
        </w:rPr>
      </w:pPr>
      <w:r w:rsidRPr="00914C55">
        <w:rPr>
          <w:rFonts w:ascii="Arial" w:hAnsi="Arial"/>
          <w:sz w:val="22"/>
          <w:szCs w:val="22"/>
        </w:rPr>
        <w:t xml:space="preserve">To read the </w:t>
      </w:r>
      <w:proofErr w:type="spellStart"/>
      <w:r w:rsidRPr="00914C55">
        <w:rPr>
          <w:rFonts w:ascii="Arial" w:hAnsi="Arial"/>
          <w:sz w:val="22"/>
          <w:szCs w:val="22"/>
        </w:rPr>
        <w:t>Realreed</w:t>
      </w:r>
      <w:proofErr w:type="spellEnd"/>
      <w:r w:rsidRPr="00914C55">
        <w:rPr>
          <w:rFonts w:ascii="Arial" w:hAnsi="Arial"/>
          <w:sz w:val="22"/>
          <w:szCs w:val="22"/>
        </w:rPr>
        <w:t xml:space="preserve"> Ltd decision, see</w:t>
      </w:r>
      <w:r>
        <w:rPr>
          <w:rFonts w:ascii="Arial" w:hAnsi="Arial"/>
          <w:sz w:val="22"/>
          <w:szCs w:val="22"/>
        </w:rPr>
        <w:t xml:space="preserve">: </w:t>
      </w:r>
      <w:hyperlink r:id="rId10" w:history="1">
        <w:r w:rsidR="007A253C" w:rsidRPr="007A253C">
          <w:rPr>
            <w:rStyle w:val="Hyperlink"/>
            <w:rFonts w:ascii="Arial" w:hAnsi="Arial"/>
            <w:sz w:val="22"/>
            <w:szCs w:val="22"/>
          </w:rPr>
          <w:t>https://financeandtax.decisions.tribunals.gov.uk//judgmentfiles/j12921/TC%2009013.pdf</w:t>
        </w:r>
      </w:hyperlink>
    </w:p>
    <w:sectPr w:rsidR="00914C55" w:rsidRPr="00990A44">
      <w:headerReference w:type="default" r:id="rId11"/>
      <w:footerReference w:type="default" r:id="rId12"/>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7C9B" w14:textId="77777777" w:rsidR="004D7604" w:rsidRDefault="004D7604">
      <w:r>
        <w:separator/>
      </w:r>
    </w:p>
  </w:endnote>
  <w:endnote w:type="continuationSeparator" w:id="0">
    <w:p w14:paraId="15E717FC" w14:textId="77777777" w:rsidR="004D7604" w:rsidRDefault="004D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7A253C">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Pr="00CD70FF" w:rsidRDefault="00DA4FB1">
    <w:pPr>
      <w:jc w:val="center"/>
      <w:rPr>
        <w:rFonts w:ascii="Arial" w:hAnsi="Arial" w:cs="Arial"/>
        <w:color w:val="999999"/>
        <w:sz w:val="16"/>
        <w:szCs w:val="16"/>
      </w:rPr>
    </w:pPr>
    <w:r w:rsidRPr="00CD70FF">
      <w:rPr>
        <w:rFonts w:ascii="Arial" w:hAnsi="Arial" w:cs="Arial"/>
        <w:i/>
        <w:sz w:val="20"/>
        <w:szCs w:val="20"/>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727F0" w14:textId="77777777" w:rsidR="004D7604" w:rsidRDefault="004D7604">
      <w:r>
        <w:separator/>
      </w:r>
    </w:p>
  </w:footnote>
  <w:footnote w:type="continuationSeparator" w:id="0">
    <w:p w14:paraId="0A1A0076" w14:textId="77777777" w:rsidR="004D7604" w:rsidRDefault="004D7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79F14785" w:rsidR="009C1A1D" w:rsidRDefault="00DA4FB1">
    <w:r>
      <w:rPr>
        <w:noProof/>
      </w:rPr>
      <w:drawing>
        <wp:anchor distT="0" distB="0" distL="114300" distR="114300" simplePos="0" relativeHeight="251659264"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246213">
    <w:abstractNumId w:val="6"/>
  </w:num>
  <w:num w:numId="2" w16cid:durableId="1909992846">
    <w:abstractNumId w:val="18"/>
  </w:num>
  <w:num w:numId="3" w16cid:durableId="1761177254">
    <w:abstractNumId w:val="4"/>
  </w:num>
  <w:num w:numId="4" w16cid:durableId="1140920953">
    <w:abstractNumId w:val="15"/>
  </w:num>
  <w:num w:numId="5" w16cid:durableId="1158690403">
    <w:abstractNumId w:val="11"/>
  </w:num>
  <w:num w:numId="6" w16cid:durableId="14038207">
    <w:abstractNumId w:val="5"/>
  </w:num>
  <w:num w:numId="7" w16cid:durableId="1193960869">
    <w:abstractNumId w:val="16"/>
  </w:num>
  <w:num w:numId="8" w16cid:durableId="266892806">
    <w:abstractNumId w:val="8"/>
  </w:num>
  <w:num w:numId="9" w16cid:durableId="762411334">
    <w:abstractNumId w:val="0"/>
  </w:num>
  <w:num w:numId="10" w16cid:durableId="1740135011">
    <w:abstractNumId w:val="14"/>
  </w:num>
  <w:num w:numId="11" w16cid:durableId="2002659532">
    <w:abstractNumId w:val="10"/>
  </w:num>
  <w:num w:numId="12" w16cid:durableId="1106778948">
    <w:abstractNumId w:val="3"/>
  </w:num>
  <w:num w:numId="13" w16cid:durableId="577523780">
    <w:abstractNumId w:val="2"/>
  </w:num>
  <w:num w:numId="14" w16cid:durableId="2136437585">
    <w:abstractNumId w:val="17"/>
  </w:num>
  <w:num w:numId="15" w16cid:durableId="1715688679">
    <w:abstractNumId w:val="9"/>
  </w:num>
  <w:num w:numId="16" w16cid:durableId="1473861709">
    <w:abstractNumId w:val="7"/>
  </w:num>
  <w:num w:numId="17" w16cid:durableId="716470955">
    <w:abstractNumId w:val="1"/>
  </w:num>
  <w:num w:numId="18" w16cid:durableId="1611862382">
    <w:abstractNumId w:val="12"/>
  </w:num>
  <w:num w:numId="19" w16cid:durableId="13147180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3922"/>
    <w:rsid w:val="0001328A"/>
    <w:rsid w:val="00014026"/>
    <w:rsid w:val="000143EE"/>
    <w:rsid w:val="000150CF"/>
    <w:rsid w:val="00025CF6"/>
    <w:rsid w:val="000319CA"/>
    <w:rsid w:val="00034DB5"/>
    <w:rsid w:val="0004794F"/>
    <w:rsid w:val="00056ADB"/>
    <w:rsid w:val="0006010A"/>
    <w:rsid w:val="000609D3"/>
    <w:rsid w:val="000635FA"/>
    <w:rsid w:val="00066EB1"/>
    <w:rsid w:val="00072AD7"/>
    <w:rsid w:val="000850ED"/>
    <w:rsid w:val="00087E83"/>
    <w:rsid w:val="00095487"/>
    <w:rsid w:val="000A3E1B"/>
    <w:rsid w:val="000A42CB"/>
    <w:rsid w:val="000A594A"/>
    <w:rsid w:val="000B2D45"/>
    <w:rsid w:val="000C2837"/>
    <w:rsid w:val="000E3F37"/>
    <w:rsid w:val="000E44F9"/>
    <w:rsid w:val="00102A13"/>
    <w:rsid w:val="00103B33"/>
    <w:rsid w:val="00103F78"/>
    <w:rsid w:val="001066A5"/>
    <w:rsid w:val="00112CA4"/>
    <w:rsid w:val="00113484"/>
    <w:rsid w:val="001172A9"/>
    <w:rsid w:val="0012371B"/>
    <w:rsid w:val="0012612E"/>
    <w:rsid w:val="001449E4"/>
    <w:rsid w:val="0015379F"/>
    <w:rsid w:val="00153C3B"/>
    <w:rsid w:val="001547B0"/>
    <w:rsid w:val="001633CD"/>
    <w:rsid w:val="00163FAC"/>
    <w:rsid w:val="001735F1"/>
    <w:rsid w:val="00174A2A"/>
    <w:rsid w:val="001837CB"/>
    <w:rsid w:val="0018725E"/>
    <w:rsid w:val="00196DFD"/>
    <w:rsid w:val="001A1856"/>
    <w:rsid w:val="001B261A"/>
    <w:rsid w:val="001C0898"/>
    <w:rsid w:val="001C1879"/>
    <w:rsid w:val="001D0726"/>
    <w:rsid w:val="001D2707"/>
    <w:rsid w:val="001D69E6"/>
    <w:rsid w:val="001F666C"/>
    <w:rsid w:val="001F7FE9"/>
    <w:rsid w:val="00200798"/>
    <w:rsid w:val="00203440"/>
    <w:rsid w:val="00223637"/>
    <w:rsid w:val="0022384B"/>
    <w:rsid w:val="00241F65"/>
    <w:rsid w:val="00246092"/>
    <w:rsid w:val="00251427"/>
    <w:rsid w:val="002533B1"/>
    <w:rsid w:val="00262C5C"/>
    <w:rsid w:val="00273875"/>
    <w:rsid w:val="00274C2F"/>
    <w:rsid w:val="00275DBD"/>
    <w:rsid w:val="00276AE8"/>
    <w:rsid w:val="00276CA0"/>
    <w:rsid w:val="00282A53"/>
    <w:rsid w:val="002840F2"/>
    <w:rsid w:val="00292B55"/>
    <w:rsid w:val="00293C0D"/>
    <w:rsid w:val="002A23BB"/>
    <w:rsid w:val="002B0D92"/>
    <w:rsid w:val="002B3A98"/>
    <w:rsid w:val="002C792A"/>
    <w:rsid w:val="002D7DB6"/>
    <w:rsid w:val="002E17D6"/>
    <w:rsid w:val="002E5C20"/>
    <w:rsid w:val="003116AE"/>
    <w:rsid w:val="00315A91"/>
    <w:rsid w:val="003167D3"/>
    <w:rsid w:val="00317563"/>
    <w:rsid w:val="00320D9F"/>
    <w:rsid w:val="00323877"/>
    <w:rsid w:val="00331291"/>
    <w:rsid w:val="00332C99"/>
    <w:rsid w:val="00337DE4"/>
    <w:rsid w:val="00344449"/>
    <w:rsid w:val="00344A1C"/>
    <w:rsid w:val="0034751C"/>
    <w:rsid w:val="0035251B"/>
    <w:rsid w:val="00354178"/>
    <w:rsid w:val="003572D2"/>
    <w:rsid w:val="00362875"/>
    <w:rsid w:val="003635DD"/>
    <w:rsid w:val="0036639E"/>
    <w:rsid w:val="0037270B"/>
    <w:rsid w:val="00372BF4"/>
    <w:rsid w:val="00373EB2"/>
    <w:rsid w:val="00373F76"/>
    <w:rsid w:val="00374E16"/>
    <w:rsid w:val="00380C5B"/>
    <w:rsid w:val="0038299E"/>
    <w:rsid w:val="00383F28"/>
    <w:rsid w:val="0038630C"/>
    <w:rsid w:val="0039058A"/>
    <w:rsid w:val="00390636"/>
    <w:rsid w:val="00394345"/>
    <w:rsid w:val="003A4D6E"/>
    <w:rsid w:val="003A59A1"/>
    <w:rsid w:val="003B3248"/>
    <w:rsid w:val="003B3C23"/>
    <w:rsid w:val="003B5476"/>
    <w:rsid w:val="003B74AC"/>
    <w:rsid w:val="003C7E1D"/>
    <w:rsid w:val="003D0579"/>
    <w:rsid w:val="003D0DC0"/>
    <w:rsid w:val="003D2D0C"/>
    <w:rsid w:val="003D5E67"/>
    <w:rsid w:val="003E0966"/>
    <w:rsid w:val="003F4DB6"/>
    <w:rsid w:val="00402C5F"/>
    <w:rsid w:val="004054E6"/>
    <w:rsid w:val="00406716"/>
    <w:rsid w:val="00410B69"/>
    <w:rsid w:val="00410BCE"/>
    <w:rsid w:val="00413079"/>
    <w:rsid w:val="00421CCC"/>
    <w:rsid w:val="0043735F"/>
    <w:rsid w:val="004408EA"/>
    <w:rsid w:val="00451925"/>
    <w:rsid w:val="004573EF"/>
    <w:rsid w:val="0046707D"/>
    <w:rsid w:val="0047146F"/>
    <w:rsid w:val="00475B15"/>
    <w:rsid w:val="0047641C"/>
    <w:rsid w:val="00480B7B"/>
    <w:rsid w:val="00486A62"/>
    <w:rsid w:val="00492823"/>
    <w:rsid w:val="004A2FE9"/>
    <w:rsid w:val="004A37AF"/>
    <w:rsid w:val="004A5FE6"/>
    <w:rsid w:val="004B1BCB"/>
    <w:rsid w:val="004B3F0A"/>
    <w:rsid w:val="004C3509"/>
    <w:rsid w:val="004D43F0"/>
    <w:rsid w:val="004D4996"/>
    <w:rsid w:val="004D7604"/>
    <w:rsid w:val="004E2E34"/>
    <w:rsid w:val="004E5F31"/>
    <w:rsid w:val="004F11A2"/>
    <w:rsid w:val="004F33E2"/>
    <w:rsid w:val="004F3A77"/>
    <w:rsid w:val="004F7614"/>
    <w:rsid w:val="005019BA"/>
    <w:rsid w:val="0050269F"/>
    <w:rsid w:val="005046F1"/>
    <w:rsid w:val="00507584"/>
    <w:rsid w:val="00507BA2"/>
    <w:rsid w:val="0052152D"/>
    <w:rsid w:val="00523E31"/>
    <w:rsid w:val="00526D13"/>
    <w:rsid w:val="005329FE"/>
    <w:rsid w:val="00532D69"/>
    <w:rsid w:val="00546D55"/>
    <w:rsid w:val="00560827"/>
    <w:rsid w:val="005615EB"/>
    <w:rsid w:val="005630C3"/>
    <w:rsid w:val="005630CB"/>
    <w:rsid w:val="0056731D"/>
    <w:rsid w:val="005744A0"/>
    <w:rsid w:val="00575645"/>
    <w:rsid w:val="00576B01"/>
    <w:rsid w:val="005855B6"/>
    <w:rsid w:val="005876F3"/>
    <w:rsid w:val="00591155"/>
    <w:rsid w:val="00591D66"/>
    <w:rsid w:val="00591E34"/>
    <w:rsid w:val="005A0BFD"/>
    <w:rsid w:val="005A53F7"/>
    <w:rsid w:val="005C38D9"/>
    <w:rsid w:val="005C563B"/>
    <w:rsid w:val="005C6B5B"/>
    <w:rsid w:val="005C7468"/>
    <w:rsid w:val="005D1030"/>
    <w:rsid w:val="005E3A0C"/>
    <w:rsid w:val="005E457D"/>
    <w:rsid w:val="005F1566"/>
    <w:rsid w:val="005F79AD"/>
    <w:rsid w:val="00610D21"/>
    <w:rsid w:val="00610E50"/>
    <w:rsid w:val="00615BEA"/>
    <w:rsid w:val="00615EE6"/>
    <w:rsid w:val="00632B66"/>
    <w:rsid w:val="006346A7"/>
    <w:rsid w:val="00635545"/>
    <w:rsid w:val="006452CD"/>
    <w:rsid w:val="006510F1"/>
    <w:rsid w:val="00656886"/>
    <w:rsid w:val="00661B69"/>
    <w:rsid w:val="006732CC"/>
    <w:rsid w:val="0067693F"/>
    <w:rsid w:val="006778DF"/>
    <w:rsid w:val="00681A77"/>
    <w:rsid w:val="006847F4"/>
    <w:rsid w:val="006921D6"/>
    <w:rsid w:val="00694848"/>
    <w:rsid w:val="006A082E"/>
    <w:rsid w:val="006B3391"/>
    <w:rsid w:val="006B758B"/>
    <w:rsid w:val="006C1E6F"/>
    <w:rsid w:val="006C7936"/>
    <w:rsid w:val="006D36C7"/>
    <w:rsid w:val="006E1183"/>
    <w:rsid w:val="006E1EE6"/>
    <w:rsid w:val="006E2F41"/>
    <w:rsid w:val="006E5AF8"/>
    <w:rsid w:val="006E606A"/>
    <w:rsid w:val="006E6552"/>
    <w:rsid w:val="006E6D29"/>
    <w:rsid w:val="007037CD"/>
    <w:rsid w:val="00712A9D"/>
    <w:rsid w:val="007133C0"/>
    <w:rsid w:val="00713C4B"/>
    <w:rsid w:val="00721A74"/>
    <w:rsid w:val="007361B8"/>
    <w:rsid w:val="00745702"/>
    <w:rsid w:val="00750065"/>
    <w:rsid w:val="007543BA"/>
    <w:rsid w:val="00761F2B"/>
    <w:rsid w:val="007649C3"/>
    <w:rsid w:val="00774650"/>
    <w:rsid w:val="00775717"/>
    <w:rsid w:val="0078605A"/>
    <w:rsid w:val="0079128E"/>
    <w:rsid w:val="007A1708"/>
    <w:rsid w:val="007A253C"/>
    <w:rsid w:val="007A4C4C"/>
    <w:rsid w:val="007C3767"/>
    <w:rsid w:val="007C7A03"/>
    <w:rsid w:val="007D4FD7"/>
    <w:rsid w:val="007D6471"/>
    <w:rsid w:val="007E5F58"/>
    <w:rsid w:val="007F4075"/>
    <w:rsid w:val="007F5338"/>
    <w:rsid w:val="00801B42"/>
    <w:rsid w:val="00805CE7"/>
    <w:rsid w:val="008116C1"/>
    <w:rsid w:val="00821C0B"/>
    <w:rsid w:val="00824394"/>
    <w:rsid w:val="00825B1E"/>
    <w:rsid w:val="008323BE"/>
    <w:rsid w:val="008325C7"/>
    <w:rsid w:val="008332CC"/>
    <w:rsid w:val="00833E64"/>
    <w:rsid w:val="00845486"/>
    <w:rsid w:val="00851180"/>
    <w:rsid w:val="0085136E"/>
    <w:rsid w:val="00864DBA"/>
    <w:rsid w:val="00865627"/>
    <w:rsid w:val="00871866"/>
    <w:rsid w:val="008718BC"/>
    <w:rsid w:val="008720C8"/>
    <w:rsid w:val="00876480"/>
    <w:rsid w:val="00895156"/>
    <w:rsid w:val="008966BE"/>
    <w:rsid w:val="008C5EBA"/>
    <w:rsid w:val="008C6BCE"/>
    <w:rsid w:val="008C735D"/>
    <w:rsid w:val="008E3615"/>
    <w:rsid w:val="008E4E45"/>
    <w:rsid w:val="008E771B"/>
    <w:rsid w:val="008F42D7"/>
    <w:rsid w:val="00901425"/>
    <w:rsid w:val="009042FF"/>
    <w:rsid w:val="00914C55"/>
    <w:rsid w:val="009232EF"/>
    <w:rsid w:val="00925C80"/>
    <w:rsid w:val="00932A8A"/>
    <w:rsid w:val="00936349"/>
    <w:rsid w:val="009405D5"/>
    <w:rsid w:val="009506FC"/>
    <w:rsid w:val="00960927"/>
    <w:rsid w:val="00961A81"/>
    <w:rsid w:val="00971656"/>
    <w:rsid w:val="00981CE0"/>
    <w:rsid w:val="00981F37"/>
    <w:rsid w:val="00985207"/>
    <w:rsid w:val="009852A0"/>
    <w:rsid w:val="00990A44"/>
    <w:rsid w:val="00992A20"/>
    <w:rsid w:val="00993B31"/>
    <w:rsid w:val="009A0D96"/>
    <w:rsid w:val="009B3706"/>
    <w:rsid w:val="009B4731"/>
    <w:rsid w:val="009C1A1D"/>
    <w:rsid w:val="009C4984"/>
    <w:rsid w:val="009D0BAF"/>
    <w:rsid w:val="009E53D7"/>
    <w:rsid w:val="00A00C64"/>
    <w:rsid w:val="00A10310"/>
    <w:rsid w:val="00A122B3"/>
    <w:rsid w:val="00A16323"/>
    <w:rsid w:val="00A172D6"/>
    <w:rsid w:val="00A21B46"/>
    <w:rsid w:val="00A21FA0"/>
    <w:rsid w:val="00A346E0"/>
    <w:rsid w:val="00A417B5"/>
    <w:rsid w:val="00A44E3A"/>
    <w:rsid w:val="00A544F2"/>
    <w:rsid w:val="00A60D4C"/>
    <w:rsid w:val="00A65C70"/>
    <w:rsid w:val="00A7298E"/>
    <w:rsid w:val="00A77573"/>
    <w:rsid w:val="00A80E00"/>
    <w:rsid w:val="00A8452A"/>
    <w:rsid w:val="00AA05E9"/>
    <w:rsid w:val="00AA4434"/>
    <w:rsid w:val="00AA6795"/>
    <w:rsid w:val="00AB31AC"/>
    <w:rsid w:val="00AC03F9"/>
    <w:rsid w:val="00AC1CE0"/>
    <w:rsid w:val="00AC343C"/>
    <w:rsid w:val="00AC5F27"/>
    <w:rsid w:val="00AD0A86"/>
    <w:rsid w:val="00AE31E4"/>
    <w:rsid w:val="00AE5057"/>
    <w:rsid w:val="00B0111E"/>
    <w:rsid w:val="00B05CFC"/>
    <w:rsid w:val="00B07E54"/>
    <w:rsid w:val="00B10379"/>
    <w:rsid w:val="00B24206"/>
    <w:rsid w:val="00B250F7"/>
    <w:rsid w:val="00B263AC"/>
    <w:rsid w:val="00B42606"/>
    <w:rsid w:val="00B50D93"/>
    <w:rsid w:val="00B50E48"/>
    <w:rsid w:val="00B51694"/>
    <w:rsid w:val="00B5573C"/>
    <w:rsid w:val="00B569FA"/>
    <w:rsid w:val="00B66907"/>
    <w:rsid w:val="00B66ED8"/>
    <w:rsid w:val="00B7105D"/>
    <w:rsid w:val="00B822BA"/>
    <w:rsid w:val="00B85C16"/>
    <w:rsid w:val="00B9164A"/>
    <w:rsid w:val="00B928CD"/>
    <w:rsid w:val="00BA373E"/>
    <w:rsid w:val="00BB155C"/>
    <w:rsid w:val="00BB2A33"/>
    <w:rsid w:val="00BC365C"/>
    <w:rsid w:val="00BC74A2"/>
    <w:rsid w:val="00BE5A5A"/>
    <w:rsid w:val="00BE73FC"/>
    <w:rsid w:val="00C0108B"/>
    <w:rsid w:val="00C2078C"/>
    <w:rsid w:val="00C31CD9"/>
    <w:rsid w:val="00C33C24"/>
    <w:rsid w:val="00C3514E"/>
    <w:rsid w:val="00C438FD"/>
    <w:rsid w:val="00C47D7B"/>
    <w:rsid w:val="00C80ABA"/>
    <w:rsid w:val="00C82D9E"/>
    <w:rsid w:val="00C84E2E"/>
    <w:rsid w:val="00C96D82"/>
    <w:rsid w:val="00CA6D08"/>
    <w:rsid w:val="00CA6EA0"/>
    <w:rsid w:val="00CB3B9C"/>
    <w:rsid w:val="00CB7B08"/>
    <w:rsid w:val="00CD001B"/>
    <w:rsid w:val="00CD4E6E"/>
    <w:rsid w:val="00CD6939"/>
    <w:rsid w:val="00CD70FF"/>
    <w:rsid w:val="00CE59C1"/>
    <w:rsid w:val="00CF0695"/>
    <w:rsid w:val="00CF0D0C"/>
    <w:rsid w:val="00CF1083"/>
    <w:rsid w:val="00CF35DB"/>
    <w:rsid w:val="00D140C8"/>
    <w:rsid w:val="00D1783E"/>
    <w:rsid w:val="00D27EB3"/>
    <w:rsid w:val="00D31468"/>
    <w:rsid w:val="00D3247B"/>
    <w:rsid w:val="00D32BB5"/>
    <w:rsid w:val="00D35F17"/>
    <w:rsid w:val="00D37CEF"/>
    <w:rsid w:val="00D41D88"/>
    <w:rsid w:val="00D6158A"/>
    <w:rsid w:val="00D62D73"/>
    <w:rsid w:val="00D67A55"/>
    <w:rsid w:val="00D728EB"/>
    <w:rsid w:val="00D76C81"/>
    <w:rsid w:val="00D86579"/>
    <w:rsid w:val="00D86BD1"/>
    <w:rsid w:val="00D940C8"/>
    <w:rsid w:val="00D96AD0"/>
    <w:rsid w:val="00D9738B"/>
    <w:rsid w:val="00DA4FB1"/>
    <w:rsid w:val="00DA5562"/>
    <w:rsid w:val="00DA598D"/>
    <w:rsid w:val="00DA7042"/>
    <w:rsid w:val="00DB387D"/>
    <w:rsid w:val="00DD3E5A"/>
    <w:rsid w:val="00DE391A"/>
    <w:rsid w:val="00DE4284"/>
    <w:rsid w:val="00DF61CC"/>
    <w:rsid w:val="00DF7F64"/>
    <w:rsid w:val="00E032EB"/>
    <w:rsid w:val="00E07FA1"/>
    <w:rsid w:val="00E10776"/>
    <w:rsid w:val="00E113B3"/>
    <w:rsid w:val="00E12C96"/>
    <w:rsid w:val="00E179C2"/>
    <w:rsid w:val="00E21A8E"/>
    <w:rsid w:val="00E2320F"/>
    <w:rsid w:val="00E31A7E"/>
    <w:rsid w:val="00E31C20"/>
    <w:rsid w:val="00E340AF"/>
    <w:rsid w:val="00E3621D"/>
    <w:rsid w:val="00E40279"/>
    <w:rsid w:val="00E407B1"/>
    <w:rsid w:val="00E40D7C"/>
    <w:rsid w:val="00E4694B"/>
    <w:rsid w:val="00E60024"/>
    <w:rsid w:val="00E6503B"/>
    <w:rsid w:val="00E677C3"/>
    <w:rsid w:val="00E76C6F"/>
    <w:rsid w:val="00E90E50"/>
    <w:rsid w:val="00E95564"/>
    <w:rsid w:val="00EA0272"/>
    <w:rsid w:val="00EC10E4"/>
    <w:rsid w:val="00EC13C6"/>
    <w:rsid w:val="00EC2E9C"/>
    <w:rsid w:val="00ED10E1"/>
    <w:rsid w:val="00ED2E3F"/>
    <w:rsid w:val="00ED3657"/>
    <w:rsid w:val="00ED7738"/>
    <w:rsid w:val="00EE3100"/>
    <w:rsid w:val="00EE36E3"/>
    <w:rsid w:val="00EE6B1A"/>
    <w:rsid w:val="00EF0C32"/>
    <w:rsid w:val="00EF204A"/>
    <w:rsid w:val="00F01CD5"/>
    <w:rsid w:val="00F03B80"/>
    <w:rsid w:val="00F116D7"/>
    <w:rsid w:val="00F12345"/>
    <w:rsid w:val="00F2620A"/>
    <w:rsid w:val="00F32BAA"/>
    <w:rsid w:val="00F32F4B"/>
    <w:rsid w:val="00F43119"/>
    <w:rsid w:val="00F57B04"/>
    <w:rsid w:val="00F64D88"/>
    <w:rsid w:val="00F70823"/>
    <w:rsid w:val="00F74149"/>
    <w:rsid w:val="00F81BC2"/>
    <w:rsid w:val="00F84AA4"/>
    <w:rsid w:val="00F9430C"/>
    <w:rsid w:val="00F95D93"/>
    <w:rsid w:val="00F97377"/>
    <w:rsid w:val="00FA06B6"/>
    <w:rsid w:val="00FA33DF"/>
    <w:rsid w:val="00FB39B2"/>
    <w:rsid w:val="00FB6164"/>
    <w:rsid w:val="00FC690C"/>
    <w:rsid w:val="00FC692B"/>
    <w:rsid w:val="00FC7D0F"/>
    <w:rsid w:val="00FE14D9"/>
    <w:rsid w:val="00FE3D16"/>
    <w:rsid w:val="00FF1F2C"/>
    <w:rsid w:val="00FF51E5"/>
    <w:rsid w:val="00FF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semiHidden/>
    <w:unhideWhenUsed/>
    <w:rsid w:val="00775717"/>
    <w:rPr>
      <w:sz w:val="20"/>
      <w:szCs w:val="20"/>
    </w:rPr>
  </w:style>
  <w:style w:type="character" w:customStyle="1" w:styleId="CommentTextChar">
    <w:name w:val="Comment Text Char"/>
    <w:basedOn w:val="DefaultParagraphFont"/>
    <w:link w:val="CommentText"/>
    <w:uiPriority w:val="99"/>
    <w:semiHidden/>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s://financeandtax.decisions.tribunals.gov.uk/judgmentfiles/j12921/TC%2009013.pdf" TargetMode="External"/><Relationship Id="rId4" Type="http://schemas.openxmlformats.org/officeDocument/2006/relationships/styles" Target="styles.xml"/><Relationship Id="rId9" Type="http://schemas.openxmlformats.org/officeDocument/2006/relationships/hyperlink" Target="https://www.gov.uk/guidance/hotels-holiday-accommodation-and-vat-notice-7093"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9852fe5-8403-4d71-98b1-3957e8d62544">
      <UserInfo>
        <DisplayName/>
        <AccountId xsi:nil="true"/>
        <AccountType/>
      </UserInfo>
    </SharedWithUsers>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FB5D754F-291A-4F25-BF4D-AC8371C93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b76c0-1824-44cf-98ae-b6d0c7a63fb1"/>
    <ds:schemaRef ds:uri="89852fe5-8403-4d71-98b1-3957e8d62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3.xml><?xml version="1.0" encoding="utf-8"?>
<ds:datastoreItem xmlns:ds="http://schemas.openxmlformats.org/officeDocument/2006/customXml" ds:itemID="{9BB7FA43-1069-44FA-84BC-5D4241430B74}"/>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25</cp:revision>
  <dcterms:created xsi:type="dcterms:W3CDTF">2025-02-07T14:34:00Z</dcterms:created>
  <dcterms:modified xsi:type="dcterms:W3CDTF">2025-02-10T14:05:00Z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