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B3CAC1C" w14:textId="1F29F356" w:rsidR="00D32BB5" w:rsidRDefault="00442875" w:rsidP="00D32BB5">
      <w:pPr>
        <w:spacing w:after="300"/>
        <w:rPr>
          <w:rFonts w:ascii="Arial" w:hAnsi="Arial" w:cs="Arial"/>
          <w:b/>
          <w:bCs/>
          <w:sz w:val="28"/>
          <w:szCs w:val="28"/>
        </w:rPr>
      </w:pPr>
      <w:r>
        <w:rPr>
          <w:rFonts w:ascii="Arial" w:hAnsi="Arial" w:cs="Arial"/>
          <w:b/>
          <w:bCs/>
          <w:sz w:val="28"/>
          <w:szCs w:val="28"/>
        </w:rPr>
        <w:t>Furnished Holiday Lettings: What do we know now?</w:t>
      </w:r>
    </w:p>
    <w:p w14:paraId="24C599BE" w14:textId="7433A5A0" w:rsidR="0078542D" w:rsidRDefault="00B1533D" w:rsidP="00BC082A">
      <w:pPr>
        <w:spacing w:after="300"/>
        <w:rPr>
          <w:rFonts w:ascii="Arial" w:hAnsi="Arial"/>
          <w:sz w:val="20"/>
          <w:szCs w:val="20"/>
        </w:rPr>
      </w:pPr>
      <w:r>
        <w:rPr>
          <w:rFonts w:ascii="Arial" w:hAnsi="Arial"/>
          <w:sz w:val="20"/>
          <w:szCs w:val="20"/>
        </w:rPr>
        <w:t xml:space="preserve">On 18 </w:t>
      </w:r>
      <w:r w:rsidR="00812D70">
        <w:rPr>
          <w:rFonts w:ascii="Arial" w:hAnsi="Arial"/>
          <w:sz w:val="20"/>
          <w:szCs w:val="20"/>
        </w:rPr>
        <w:t>August 2024</w:t>
      </w:r>
      <w:r w:rsidR="00330542">
        <w:rPr>
          <w:rFonts w:ascii="Arial" w:hAnsi="Arial"/>
          <w:sz w:val="20"/>
          <w:szCs w:val="20"/>
        </w:rPr>
        <w:t>,</w:t>
      </w:r>
      <w:r w:rsidR="00812D70">
        <w:rPr>
          <w:rFonts w:ascii="Arial" w:hAnsi="Arial"/>
          <w:sz w:val="20"/>
          <w:szCs w:val="20"/>
        </w:rPr>
        <w:t xml:space="preserve"> the government published draft legislation that will abolish the </w:t>
      </w:r>
      <w:r w:rsidR="00852880">
        <w:rPr>
          <w:rFonts w:ascii="Arial" w:hAnsi="Arial"/>
          <w:sz w:val="20"/>
          <w:szCs w:val="20"/>
        </w:rPr>
        <w:t>Furnished Holiday Lettings (FHL) regime from April 2025. Previously, it was uncertain whether the abolition, as originally proposed by Jeremy Hunt</w:t>
      </w:r>
      <w:r w:rsidR="00DB2D8B">
        <w:rPr>
          <w:rFonts w:ascii="Arial" w:hAnsi="Arial"/>
          <w:sz w:val="20"/>
          <w:szCs w:val="20"/>
        </w:rPr>
        <w:t>, would go ahead. In this</w:t>
      </w:r>
      <w:r w:rsidR="00887EF4">
        <w:rPr>
          <w:rFonts w:ascii="Arial" w:hAnsi="Arial"/>
          <w:sz w:val="20"/>
          <w:szCs w:val="20"/>
        </w:rPr>
        <w:t xml:space="preserve"> two-page</w:t>
      </w:r>
      <w:r w:rsidR="00DB2D8B">
        <w:rPr>
          <w:rFonts w:ascii="Arial" w:hAnsi="Arial"/>
          <w:sz w:val="20"/>
          <w:szCs w:val="20"/>
        </w:rPr>
        <w:t xml:space="preserve"> factsheet, we outline the </w:t>
      </w:r>
      <w:r w:rsidR="00C5535E">
        <w:rPr>
          <w:rFonts w:ascii="Arial" w:hAnsi="Arial"/>
          <w:sz w:val="20"/>
          <w:szCs w:val="20"/>
        </w:rPr>
        <w:t>proposals and identify some potential planning opportunities.</w:t>
      </w:r>
    </w:p>
    <w:p w14:paraId="10717369" w14:textId="5A1DF33F" w:rsidR="00D1783E" w:rsidRDefault="00C5535E" w:rsidP="00D1783E">
      <w:pPr>
        <w:pStyle w:val="NormalWeb"/>
        <w:spacing w:after="210" w:afterAutospacing="0"/>
        <w:rPr>
          <w:rFonts w:ascii="Arial" w:eastAsia="Arial" w:hAnsi="Arial" w:cs="Arial"/>
          <w:sz w:val="28"/>
          <w:szCs w:val="28"/>
        </w:rPr>
      </w:pPr>
      <w:r>
        <w:rPr>
          <w:rFonts w:ascii="Arial" w:eastAsia="Arial" w:hAnsi="Arial" w:cs="Arial"/>
          <w:sz w:val="28"/>
          <w:szCs w:val="28"/>
        </w:rPr>
        <w:t>Background</w:t>
      </w:r>
    </w:p>
    <w:p w14:paraId="13FF89EC" w14:textId="7E5A881A" w:rsidR="00442875" w:rsidRDefault="006055A1" w:rsidP="00442875">
      <w:pPr>
        <w:pStyle w:val="NoSpacing"/>
        <w:rPr>
          <w:rFonts w:ascii="Arial" w:hAnsi="Arial"/>
          <w:sz w:val="20"/>
          <w:szCs w:val="20"/>
        </w:rPr>
      </w:pPr>
      <w:r>
        <w:rPr>
          <w:rFonts w:ascii="Arial" w:hAnsi="Arial"/>
          <w:sz w:val="20"/>
          <w:szCs w:val="20"/>
        </w:rPr>
        <w:t xml:space="preserve">A property qualifies as a Furnished Holiday Let (FHL) if it </w:t>
      </w:r>
      <w:r w:rsidR="00567085">
        <w:rPr>
          <w:rFonts w:ascii="Arial" w:hAnsi="Arial"/>
          <w:sz w:val="20"/>
          <w:szCs w:val="20"/>
        </w:rPr>
        <w:t>satisfies</w:t>
      </w:r>
      <w:r>
        <w:rPr>
          <w:rFonts w:ascii="Arial" w:hAnsi="Arial"/>
          <w:sz w:val="20"/>
          <w:szCs w:val="20"/>
        </w:rPr>
        <w:t xml:space="preserve"> certain c</w:t>
      </w:r>
      <w:r w:rsidR="00567085">
        <w:rPr>
          <w:rFonts w:ascii="Arial" w:hAnsi="Arial"/>
          <w:sz w:val="20"/>
          <w:szCs w:val="20"/>
        </w:rPr>
        <w:t>onditions</w:t>
      </w:r>
      <w:r>
        <w:rPr>
          <w:rFonts w:ascii="Arial" w:hAnsi="Arial"/>
          <w:sz w:val="20"/>
          <w:szCs w:val="20"/>
        </w:rPr>
        <w:t xml:space="preserve">, including </w:t>
      </w:r>
      <w:r w:rsidR="00567085">
        <w:rPr>
          <w:rFonts w:ascii="Arial" w:hAnsi="Arial"/>
          <w:sz w:val="20"/>
          <w:szCs w:val="20"/>
        </w:rPr>
        <w:t>strict criteria for availability and occupancy</w:t>
      </w:r>
      <w:r w:rsidR="00E26BC6">
        <w:rPr>
          <w:rFonts w:ascii="Arial" w:hAnsi="Arial"/>
          <w:sz w:val="20"/>
          <w:szCs w:val="20"/>
        </w:rPr>
        <w:t>. The tax treatment for FHLs is more advantageous than for properties that do not qualify. The main tax benefits are:</w:t>
      </w:r>
    </w:p>
    <w:p w14:paraId="771F7B53" w14:textId="77777777" w:rsidR="00E26BC6" w:rsidRDefault="00E26BC6" w:rsidP="00442875">
      <w:pPr>
        <w:pStyle w:val="NoSpacing"/>
        <w:rPr>
          <w:rFonts w:ascii="Arial" w:hAnsi="Arial"/>
          <w:sz w:val="20"/>
          <w:szCs w:val="20"/>
        </w:rPr>
      </w:pPr>
    </w:p>
    <w:p w14:paraId="44733853" w14:textId="033CC9CA" w:rsidR="00E26BC6" w:rsidRDefault="00B6299A" w:rsidP="0045167E">
      <w:pPr>
        <w:pStyle w:val="NoSpacing"/>
        <w:numPr>
          <w:ilvl w:val="0"/>
          <w:numId w:val="26"/>
        </w:numPr>
        <w:rPr>
          <w:rFonts w:ascii="Arial" w:hAnsi="Arial"/>
          <w:sz w:val="20"/>
          <w:szCs w:val="20"/>
        </w:rPr>
      </w:pPr>
      <w:r>
        <w:rPr>
          <w:rFonts w:ascii="Arial" w:hAnsi="Arial"/>
          <w:sz w:val="20"/>
          <w:szCs w:val="20"/>
        </w:rPr>
        <w:t>FHL properties are not subject to the interest</w:t>
      </w:r>
      <w:r w:rsidR="00C90235">
        <w:rPr>
          <w:rFonts w:ascii="Arial" w:hAnsi="Arial"/>
          <w:sz w:val="20"/>
          <w:szCs w:val="20"/>
        </w:rPr>
        <w:t xml:space="preserve"> and finance cost</w:t>
      </w:r>
      <w:r>
        <w:rPr>
          <w:rFonts w:ascii="Arial" w:hAnsi="Arial"/>
          <w:sz w:val="20"/>
          <w:szCs w:val="20"/>
        </w:rPr>
        <w:t xml:space="preserve"> restriction that applies to other </w:t>
      </w:r>
      <w:r w:rsidR="00934FF7">
        <w:rPr>
          <w:rFonts w:ascii="Arial" w:hAnsi="Arial"/>
          <w:sz w:val="20"/>
          <w:szCs w:val="20"/>
        </w:rPr>
        <w:t>dwelling properties;</w:t>
      </w:r>
    </w:p>
    <w:p w14:paraId="087D4C02" w14:textId="3FFBAA94" w:rsidR="002B4225" w:rsidRDefault="00934FF7" w:rsidP="0045167E">
      <w:pPr>
        <w:pStyle w:val="NoSpacing"/>
        <w:numPr>
          <w:ilvl w:val="0"/>
          <w:numId w:val="26"/>
        </w:numPr>
        <w:rPr>
          <w:rFonts w:ascii="Arial" w:hAnsi="Arial"/>
          <w:sz w:val="20"/>
          <w:szCs w:val="20"/>
        </w:rPr>
      </w:pPr>
      <w:r>
        <w:rPr>
          <w:rFonts w:ascii="Arial" w:hAnsi="Arial"/>
          <w:sz w:val="20"/>
          <w:szCs w:val="20"/>
        </w:rPr>
        <w:t xml:space="preserve">Capital allowances are available for items </w:t>
      </w:r>
      <w:bookmarkStart w:id="0" w:name="_he7gwbhwfkuc" w:colFirst="0" w:colLast="0"/>
      <w:bookmarkEnd w:id="0"/>
      <w:r w:rsidR="008A0702">
        <w:rPr>
          <w:rFonts w:ascii="Arial" w:hAnsi="Arial"/>
          <w:sz w:val="20"/>
          <w:szCs w:val="20"/>
        </w:rPr>
        <w:t>installed or used in the property;</w:t>
      </w:r>
    </w:p>
    <w:p w14:paraId="07D60D3F" w14:textId="009873CC" w:rsidR="004D707A" w:rsidRDefault="004D707A" w:rsidP="0045167E">
      <w:pPr>
        <w:pStyle w:val="NoSpacing"/>
        <w:numPr>
          <w:ilvl w:val="0"/>
          <w:numId w:val="26"/>
        </w:numPr>
        <w:rPr>
          <w:rFonts w:ascii="Arial" w:hAnsi="Arial"/>
          <w:sz w:val="20"/>
          <w:szCs w:val="20"/>
        </w:rPr>
      </w:pPr>
      <w:r>
        <w:rPr>
          <w:rFonts w:ascii="Arial" w:hAnsi="Arial"/>
          <w:sz w:val="20"/>
          <w:szCs w:val="20"/>
        </w:rPr>
        <w:t xml:space="preserve">Several capital gains tax (CGT) reliefs are </w:t>
      </w:r>
      <w:r w:rsidR="00CE4985">
        <w:rPr>
          <w:rFonts w:ascii="Arial" w:hAnsi="Arial"/>
          <w:sz w:val="20"/>
          <w:szCs w:val="20"/>
        </w:rPr>
        <w:t>available for those who dispose of an FHL;</w:t>
      </w:r>
      <w:r w:rsidR="00693D73">
        <w:rPr>
          <w:rFonts w:ascii="Arial" w:hAnsi="Arial"/>
          <w:sz w:val="20"/>
          <w:szCs w:val="20"/>
        </w:rPr>
        <w:t xml:space="preserve"> and</w:t>
      </w:r>
    </w:p>
    <w:p w14:paraId="31B6CB4F" w14:textId="6E85873D" w:rsidR="00CE4985" w:rsidRDefault="00CE4985" w:rsidP="0045167E">
      <w:pPr>
        <w:pStyle w:val="NoSpacing"/>
        <w:numPr>
          <w:ilvl w:val="0"/>
          <w:numId w:val="26"/>
        </w:numPr>
        <w:rPr>
          <w:rFonts w:ascii="Arial" w:hAnsi="Arial"/>
          <w:sz w:val="20"/>
          <w:szCs w:val="20"/>
        </w:rPr>
      </w:pPr>
      <w:r>
        <w:rPr>
          <w:rFonts w:ascii="Arial" w:hAnsi="Arial"/>
          <w:sz w:val="20"/>
          <w:szCs w:val="20"/>
        </w:rPr>
        <w:t>Income from an FHL qualifies as ‘relevant earnings’ for the purpose of determining a person</w:t>
      </w:r>
      <w:r w:rsidR="00330542">
        <w:rPr>
          <w:rFonts w:ascii="Arial" w:hAnsi="Arial"/>
          <w:sz w:val="20"/>
          <w:szCs w:val="20"/>
        </w:rPr>
        <w:t>’</w:t>
      </w:r>
      <w:r>
        <w:rPr>
          <w:rFonts w:ascii="Arial" w:hAnsi="Arial"/>
          <w:sz w:val="20"/>
          <w:szCs w:val="20"/>
        </w:rPr>
        <w:t xml:space="preserve">s maximum </w:t>
      </w:r>
      <w:r w:rsidR="00DD0D46">
        <w:rPr>
          <w:rFonts w:ascii="Arial" w:hAnsi="Arial"/>
          <w:sz w:val="20"/>
          <w:szCs w:val="20"/>
        </w:rPr>
        <w:t>tax efficient pension contributions.</w:t>
      </w:r>
    </w:p>
    <w:p w14:paraId="07C01F78" w14:textId="77777777" w:rsidR="008A0702" w:rsidRPr="008A0702" w:rsidRDefault="008A0702" w:rsidP="008A0702">
      <w:pPr>
        <w:pStyle w:val="NoSpacing"/>
        <w:rPr>
          <w:rFonts w:ascii="Arial" w:hAnsi="Arial"/>
          <w:sz w:val="20"/>
          <w:szCs w:val="20"/>
        </w:rPr>
      </w:pPr>
    </w:p>
    <w:p w14:paraId="02FD836A" w14:textId="008E5B99" w:rsidR="00833E64" w:rsidRDefault="00914C94" w:rsidP="00833E64">
      <w:pPr>
        <w:spacing w:after="300"/>
        <w:rPr>
          <w:rFonts w:ascii="Arial" w:eastAsia="Arial" w:hAnsi="Arial" w:cs="Arial"/>
          <w:sz w:val="28"/>
          <w:szCs w:val="28"/>
        </w:rPr>
      </w:pPr>
      <w:r>
        <w:rPr>
          <w:rFonts w:ascii="Arial" w:eastAsia="Arial" w:hAnsi="Arial" w:cs="Arial"/>
          <w:sz w:val="28"/>
          <w:szCs w:val="28"/>
        </w:rPr>
        <w:t>What is changing?</w:t>
      </w:r>
    </w:p>
    <w:p w14:paraId="024C34CF" w14:textId="3C29016A" w:rsidR="00442875" w:rsidRDefault="00DD0D46" w:rsidP="00442875">
      <w:pPr>
        <w:spacing w:after="300"/>
        <w:rPr>
          <w:rFonts w:ascii="Arial" w:hAnsi="Arial"/>
          <w:sz w:val="20"/>
          <w:szCs w:val="20"/>
        </w:rPr>
      </w:pPr>
      <w:r>
        <w:rPr>
          <w:rFonts w:ascii="Arial" w:hAnsi="Arial"/>
          <w:sz w:val="20"/>
          <w:szCs w:val="20"/>
        </w:rPr>
        <w:t>From April 2025</w:t>
      </w:r>
      <w:r w:rsidR="00182A23">
        <w:rPr>
          <w:rFonts w:ascii="Arial" w:hAnsi="Arial"/>
          <w:sz w:val="20"/>
          <w:szCs w:val="20"/>
        </w:rPr>
        <w:t>, the FHL status will be abolished, meaning properties will no longer qualify</w:t>
      </w:r>
      <w:r w:rsidR="0045167E">
        <w:rPr>
          <w:rFonts w:ascii="Arial" w:hAnsi="Arial"/>
          <w:sz w:val="20"/>
          <w:szCs w:val="20"/>
        </w:rPr>
        <w:t xml:space="preserve"> for </w:t>
      </w:r>
      <w:r w:rsidR="00E446DD">
        <w:rPr>
          <w:rFonts w:ascii="Arial" w:hAnsi="Arial"/>
          <w:sz w:val="20"/>
          <w:szCs w:val="20"/>
        </w:rPr>
        <w:t>the above tax advantages, meaning:</w:t>
      </w:r>
    </w:p>
    <w:p w14:paraId="7B55667F" w14:textId="1A0FF2DF" w:rsidR="00E446DD" w:rsidRPr="00D23E19" w:rsidRDefault="00693D73" w:rsidP="00D23E19">
      <w:pPr>
        <w:pStyle w:val="ListParagraph"/>
        <w:numPr>
          <w:ilvl w:val="0"/>
          <w:numId w:val="27"/>
        </w:numPr>
        <w:spacing w:after="300"/>
        <w:rPr>
          <w:rFonts w:ascii="Arial" w:hAnsi="Arial"/>
          <w:sz w:val="20"/>
          <w:szCs w:val="20"/>
        </w:rPr>
      </w:pPr>
      <w:r w:rsidRPr="00D23E19">
        <w:rPr>
          <w:rFonts w:ascii="Arial" w:hAnsi="Arial"/>
          <w:sz w:val="20"/>
          <w:szCs w:val="20"/>
        </w:rPr>
        <w:t>Relief for i</w:t>
      </w:r>
      <w:r w:rsidR="00DF4EB4" w:rsidRPr="00D23E19">
        <w:rPr>
          <w:rFonts w:ascii="Arial" w:hAnsi="Arial"/>
          <w:sz w:val="20"/>
          <w:szCs w:val="20"/>
        </w:rPr>
        <w:t>nterest on loans and other finance costs relating to the property will</w:t>
      </w:r>
      <w:r w:rsidRPr="00D23E19">
        <w:rPr>
          <w:rFonts w:ascii="Arial" w:hAnsi="Arial"/>
          <w:sz w:val="20"/>
          <w:szCs w:val="20"/>
        </w:rPr>
        <w:t xml:space="preserve"> </w:t>
      </w:r>
      <w:r w:rsidR="00D4168F">
        <w:rPr>
          <w:rFonts w:ascii="Arial" w:hAnsi="Arial"/>
          <w:sz w:val="20"/>
          <w:szCs w:val="20"/>
        </w:rPr>
        <w:t xml:space="preserve">no longer be a deductible cost </w:t>
      </w:r>
      <w:r w:rsidR="00C90235">
        <w:rPr>
          <w:rFonts w:ascii="Arial" w:hAnsi="Arial"/>
          <w:sz w:val="20"/>
          <w:szCs w:val="20"/>
        </w:rPr>
        <w:t>–</w:t>
      </w:r>
      <w:r w:rsidR="00D4168F">
        <w:rPr>
          <w:rFonts w:ascii="Arial" w:hAnsi="Arial"/>
          <w:sz w:val="20"/>
          <w:szCs w:val="20"/>
        </w:rPr>
        <w:t xml:space="preserve"> instead</w:t>
      </w:r>
      <w:r w:rsidR="00C90235">
        <w:rPr>
          <w:rFonts w:ascii="Arial" w:hAnsi="Arial"/>
          <w:sz w:val="20"/>
          <w:szCs w:val="20"/>
        </w:rPr>
        <w:t xml:space="preserve"> </w:t>
      </w:r>
      <w:r w:rsidR="009842A3">
        <w:rPr>
          <w:rFonts w:ascii="Arial" w:hAnsi="Arial"/>
          <w:sz w:val="20"/>
          <w:szCs w:val="20"/>
        </w:rPr>
        <w:t>the landlord will be able to claim the Finance Cost Allowance.</w:t>
      </w:r>
    </w:p>
    <w:p w14:paraId="0FF27400" w14:textId="1F503F72" w:rsidR="00813026" w:rsidRDefault="00870769" w:rsidP="00D23E19">
      <w:pPr>
        <w:pStyle w:val="ListParagraph"/>
        <w:numPr>
          <w:ilvl w:val="0"/>
          <w:numId w:val="27"/>
        </w:numPr>
        <w:spacing w:after="300"/>
        <w:rPr>
          <w:rFonts w:ascii="Arial" w:hAnsi="Arial"/>
          <w:sz w:val="20"/>
          <w:szCs w:val="20"/>
        </w:rPr>
      </w:pPr>
      <w:r>
        <w:rPr>
          <w:rFonts w:ascii="Arial" w:hAnsi="Arial"/>
          <w:sz w:val="20"/>
          <w:szCs w:val="20"/>
        </w:rPr>
        <w:t>N</w:t>
      </w:r>
      <w:r w:rsidRPr="00870769">
        <w:rPr>
          <w:rFonts w:ascii="Arial" w:hAnsi="Arial"/>
          <w:sz w:val="20"/>
          <w:szCs w:val="20"/>
        </w:rPr>
        <w:t>ew</w:t>
      </w:r>
      <w:r>
        <w:rPr>
          <w:rFonts w:ascii="Arial" w:hAnsi="Arial"/>
          <w:sz w:val="20"/>
          <w:szCs w:val="20"/>
        </w:rPr>
        <w:t xml:space="preserve"> Capital Allowances</w:t>
      </w:r>
      <w:r w:rsidRPr="00870769">
        <w:rPr>
          <w:rFonts w:ascii="Arial" w:hAnsi="Arial"/>
          <w:sz w:val="20"/>
          <w:szCs w:val="20"/>
        </w:rPr>
        <w:t xml:space="preserve"> claims will no longer be allowed,</w:t>
      </w:r>
      <w:r w:rsidR="00813026">
        <w:rPr>
          <w:rFonts w:ascii="Arial" w:hAnsi="Arial"/>
          <w:sz w:val="20"/>
          <w:szCs w:val="20"/>
        </w:rPr>
        <w:t xml:space="preserve"> although</w:t>
      </w:r>
      <w:r w:rsidRPr="00870769">
        <w:rPr>
          <w:rFonts w:ascii="Arial" w:hAnsi="Arial"/>
          <w:sz w:val="20"/>
          <w:szCs w:val="20"/>
        </w:rPr>
        <w:t xml:space="preserve"> prior period Capital Allowances will continue</w:t>
      </w:r>
      <w:r w:rsidR="00813026">
        <w:rPr>
          <w:rFonts w:ascii="Arial" w:hAnsi="Arial"/>
          <w:sz w:val="20"/>
          <w:szCs w:val="20"/>
        </w:rPr>
        <w:t>. N</w:t>
      </w:r>
      <w:r w:rsidRPr="00870769">
        <w:rPr>
          <w:rFonts w:ascii="Arial" w:hAnsi="Arial"/>
          <w:sz w:val="20"/>
          <w:szCs w:val="20"/>
        </w:rPr>
        <w:t xml:space="preserve">ew claims will be for Replacement of Domestic </w:t>
      </w:r>
      <w:r w:rsidR="003A4C40">
        <w:rPr>
          <w:rFonts w:ascii="Arial" w:hAnsi="Arial"/>
          <w:sz w:val="20"/>
          <w:szCs w:val="20"/>
        </w:rPr>
        <w:t>Items, if the asset is eligible.</w:t>
      </w:r>
    </w:p>
    <w:p w14:paraId="0E5610F9" w14:textId="6FF11D00" w:rsidR="00705BEA" w:rsidRPr="00D23E19" w:rsidRDefault="00705BEA" w:rsidP="00D23E19">
      <w:pPr>
        <w:pStyle w:val="ListParagraph"/>
        <w:numPr>
          <w:ilvl w:val="0"/>
          <w:numId w:val="27"/>
        </w:numPr>
        <w:spacing w:after="300"/>
        <w:rPr>
          <w:rFonts w:ascii="Arial" w:hAnsi="Arial"/>
          <w:sz w:val="20"/>
          <w:szCs w:val="20"/>
        </w:rPr>
      </w:pPr>
      <w:r w:rsidRPr="00D23E19">
        <w:rPr>
          <w:rFonts w:ascii="Arial" w:hAnsi="Arial"/>
          <w:sz w:val="20"/>
          <w:szCs w:val="20"/>
        </w:rPr>
        <w:t xml:space="preserve">CGT reliefs such as Business Asset Disposal Relief (BADR), </w:t>
      </w:r>
      <w:r w:rsidR="008F3C17" w:rsidRPr="00D23E19">
        <w:rPr>
          <w:rFonts w:ascii="Arial" w:hAnsi="Arial"/>
          <w:sz w:val="20"/>
          <w:szCs w:val="20"/>
        </w:rPr>
        <w:t>rollover relief and gift relief will not be available for properties sold after 5 April 2025; and</w:t>
      </w:r>
    </w:p>
    <w:p w14:paraId="12E2AE8D" w14:textId="77777777" w:rsidR="00B65611" w:rsidRDefault="008F3C17" w:rsidP="00B65611">
      <w:pPr>
        <w:pStyle w:val="ListParagraph"/>
        <w:numPr>
          <w:ilvl w:val="0"/>
          <w:numId w:val="27"/>
        </w:numPr>
        <w:spacing w:after="300"/>
        <w:rPr>
          <w:rFonts w:ascii="Arial" w:hAnsi="Arial"/>
          <w:sz w:val="20"/>
          <w:szCs w:val="20"/>
        </w:rPr>
      </w:pPr>
      <w:r w:rsidRPr="00D23E19">
        <w:rPr>
          <w:rFonts w:ascii="Arial" w:hAnsi="Arial"/>
          <w:sz w:val="20"/>
          <w:szCs w:val="20"/>
        </w:rPr>
        <w:t xml:space="preserve">Earnings from the property will not </w:t>
      </w:r>
      <w:r w:rsidR="00D23E19" w:rsidRPr="00D23E19">
        <w:rPr>
          <w:rFonts w:ascii="Arial" w:hAnsi="Arial"/>
          <w:sz w:val="20"/>
          <w:szCs w:val="20"/>
        </w:rPr>
        <w:t>count as qualifying earnings for pension purposes.</w:t>
      </w:r>
    </w:p>
    <w:p w14:paraId="63EE8A60" w14:textId="0D550D0F" w:rsidR="005C43DC" w:rsidRPr="00B65611" w:rsidRDefault="005C43DC" w:rsidP="00B65611">
      <w:pPr>
        <w:spacing w:after="300"/>
        <w:rPr>
          <w:rFonts w:ascii="Arial" w:hAnsi="Arial"/>
          <w:sz w:val="20"/>
          <w:szCs w:val="20"/>
        </w:rPr>
      </w:pPr>
      <w:r w:rsidRPr="00B65611">
        <w:rPr>
          <w:rFonts w:ascii="Arial" w:hAnsi="Arial"/>
          <w:sz w:val="20"/>
          <w:szCs w:val="20"/>
        </w:rPr>
        <w:t>In short, income from an FHL will be treated in the same way</w:t>
      </w:r>
      <w:r w:rsidR="00B65611" w:rsidRPr="00B65611">
        <w:rPr>
          <w:rFonts w:ascii="Arial" w:hAnsi="Arial"/>
          <w:sz w:val="20"/>
          <w:szCs w:val="20"/>
        </w:rPr>
        <w:t xml:space="preserve"> as any other residential property.</w:t>
      </w:r>
    </w:p>
    <w:p w14:paraId="0A6DD87E" w14:textId="2ED5E39C" w:rsidR="00C65207" w:rsidRDefault="005C43DC" w:rsidP="00C65207">
      <w:pPr>
        <w:spacing w:after="300"/>
        <w:rPr>
          <w:rFonts w:ascii="Arial" w:eastAsia="Arial" w:hAnsi="Arial" w:cs="Arial"/>
          <w:sz w:val="28"/>
          <w:szCs w:val="28"/>
        </w:rPr>
      </w:pPr>
      <w:r>
        <w:rPr>
          <w:rFonts w:ascii="Arial" w:eastAsia="Arial" w:hAnsi="Arial" w:cs="Arial"/>
          <w:sz w:val="28"/>
          <w:szCs w:val="28"/>
        </w:rPr>
        <w:t>Are there any transitional rules?</w:t>
      </w:r>
    </w:p>
    <w:p w14:paraId="4F2C03A3" w14:textId="77777777" w:rsidR="004C3C82" w:rsidRDefault="002F6B1F" w:rsidP="00E446DD">
      <w:pPr>
        <w:spacing w:after="300"/>
        <w:rPr>
          <w:rFonts w:ascii="Arial" w:hAnsi="Arial"/>
          <w:sz w:val="20"/>
          <w:szCs w:val="20"/>
        </w:rPr>
      </w:pPr>
      <w:r>
        <w:rPr>
          <w:rFonts w:ascii="Arial" w:hAnsi="Arial"/>
          <w:sz w:val="20"/>
          <w:szCs w:val="20"/>
        </w:rPr>
        <w:t xml:space="preserve">Yes. </w:t>
      </w:r>
      <w:r w:rsidR="00D75009">
        <w:rPr>
          <w:rFonts w:ascii="Arial" w:hAnsi="Arial"/>
          <w:sz w:val="20"/>
          <w:szCs w:val="20"/>
        </w:rPr>
        <w:t xml:space="preserve">Prior to the draft legislation being published there was concern that the abolition of the regime would mean </w:t>
      </w:r>
      <w:r w:rsidR="00FC327A">
        <w:rPr>
          <w:rFonts w:ascii="Arial" w:hAnsi="Arial"/>
          <w:sz w:val="20"/>
          <w:szCs w:val="20"/>
        </w:rPr>
        <w:t xml:space="preserve">balancing charges would arise in capital allowances pools in April 2025. </w:t>
      </w:r>
      <w:r w:rsidR="00EA02FE">
        <w:rPr>
          <w:rFonts w:ascii="Arial" w:hAnsi="Arial"/>
          <w:sz w:val="20"/>
          <w:szCs w:val="20"/>
        </w:rPr>
        <w:t xml:space="preserve">However, this will not be the case. </w:t>
      </w:r>
    </w:p>
    <w:p w14:paraId="552C7197" w14:textId="20992F22" w:rsidR="00B65611" w:rsidRDefault="00EA02FE" w:rsidP="00E446DD">
      <w:pPr>
        <w:spacing w:after="300"/>
        <w:rPr>
          <w:rFonts w:ascii="Arial" w:hAnsi="Arial"/>
          <w:sz w:val="20"/>
          <w:szCs w:val="20"/>
        </w:rPr>
      </w:pPr>
      <w:r w:rsidRPr="00EA02FE">
        <w:rPr>
          <w:rFonts w:ascii="Arial" w:hAnsi="Arial"/>
          <w:sz w:val="20"/>
          <w:szCs w:val="20"/>
        </w:rPr>
        <w:t xml:space="preserve">If at the end of </w:t>
      </w:r>
      <w:r w:rsidR="00330542">
        <w:rPr>
          <w:rFonts w:ascii="Arial" w:hAnsi="Arial"/>
          <w:sz w:val="20"/>
          <w:szCs w:val="20"/>
        </w:rPr>
        <w:t xml:space="preserve">the </w:t>
      </w:r>
      <w:r w:rsidRPr="00EA02FE">
        <w:rPr>
          <w:rFonts w:ascii="Arial" w:hAnsi="Arial"/>
          <w:sz w:val="20"/>
          <w:szCs w:val="20"/>
        </w:rPr>
        <w:t xml:space="preserve">2024/25 tax year the furnished holiday lettings business has a </w:t>
      </w:r>
      <w:r w:rsidRPr="00296C4F">
        <w:rPr>
          <w:rFonts w:ascii="Arial" w:hAnsi="Arial"/>
          <w:b/>
          <w:bCs/>
          <w:sz w:val="20"/>
          <w:szCs w:val="20"/>
        </w:rPr>
        <w:t>capital allowances pool of expenditure, writing-down allowances can continue to be claimed on that pool in 2025/26 and onwards</w:t>
      </w:r>
      <w:r w:rsidRPr="00EA02FE">
        <w:rPr>
          <w:rFonts w:ascii="Arial" w:hAnsi="Arial"/>
          <w:sz w:val="20"/>
          <w:szCs w:val="20"/>
        </w:rPr>
        <w:t>. There will not be a market value balancing adjustment as the FHL property becomes part of the main property business.</w:t>
      </w:r>
    </w:p>
    <w:p w14:paraId="380F0A6E" w14:textId="3C0180BF" w:rsidR="00296C4F" w:rsidRDefault="00DC037A" w:rsidP="00E446DD">
      <w:pPr>
        <w:spacing w:after="300"/>
        <w:rPr>
          <w:rFonts w:ascii="Arial" w:hAnsi="Arial"/>
          <w:sz w:val="20"/>
          <w:szCs w:val="20"/>
        </w:rPr>
      </w:pPr>
      <w:r>
        <w:rPr>
          <w:rFonts w:ascii="Arial" w:hAnsi="Arial"/>
          <w:sz w:val="20"/>
          <w:szCs w:val="20"/>
        </w:rPr>
        <w:t>There was also concern about whether FHL owners would be able to use brought forward losses</w:t>
      </w:r>
      <w:r w:rsidR="004C7603">
        <w:rPr>
          <w:rFonts w:ascii="Arial" w:hAnsi="Arial"/>
          <w:sz w:val="20"/>
          <w:szCs w:val="20"/>
        </w:rPr>
        <w:t xml:space="preserve"> from an FHL business. The draft legislation confirms that, </w:t>
      </w:r>
      <w:r w:rsidR="004C7603" w:rsidRPr="00D24599">
        <w:rPr>
          <w:rFonts w:ascii="Arial" w:hAnsi="Arial"/>
          <w:b/>
          <w:bCs/>
          <w:sz w:val="20"/>
          <w:szCs w:val="20"/>
        </w:rPr>
        <w:t>if at the end of 2024/25 there are carried forward losses in the furnished holiday letting business, these will continue to be carried forward and will be available for set off against future years’ profits of the main property business</w:t>
      </w:r>
      <w:r w:rsidR="00D24599">
        <w:rPr>
          <w:rFonts w:ascii="Arial" w:hAnsi="Arial"/>
          <w:sz w:val="20"/>
          <w:szCs w:val="20"/>
        </w:rPr>
        <w:t>.</w:t>
      </w:r>
    </w:p>
    <w:p w14:paraId="5959DCC9" w14:textId="54373767" w:rsidR="00D24599" w:rsidRDefault="00D90FD6" w:rsidP="00E446DD">
      <w:pPr>
        <w:spacing w:after="300"/>
        <w:rPr>
          <w:rFonts w:ascii="Arial" w:hAnsi="Arial"/>
          <w:sz w:val="20"/>
          <w:szCs w:val="20"/>
        </w:rPr>
      </w:pPr>
      <w:r>
        <w:rPr>
          <w:rFonts w:ascii="Arial" w:hAnsi="Arial"/>
          <w:sz w:val="20"/>
          <w:szCs w:val="20"/>
        </w:rPr>
        <w:t xml:space="preserve">For CGT purposes, </w:t>
      </w:r>
      <w:r w:rsidRPr="00D90FD6">
        <w:rPr>
          <w:rFonts w:ascii="Arial" w:hAnsi="Arial"/>
          <w:sz w:val="20"/>
          <w:szCs w:val="20"/>
        </w:rPr>
        <w:t xml:space="preserve">where the FHL conditions are satisfied in relation to a business that ceased prior to 6 April 2025, </w:t>
      </w:r>
      <w:r w:rsidR="000D6CE0" w:rsidRPr="000D6CE0">
        <w:rPr>
          <w:rFonts w:ascii="Arial" w:hAnsi="Arial"/>
          <w:b/>
          <w:bCs/>
          <w:sz w:val="20"/>
          <w:szCs w:val="20"/>
        </w:rPr>
        <w:t>Business Asset Disposal Relief (BADR)</w:t>
      </w:r>
      <w:r w:rsidRPr="000D6CE0">
        <w:rPr>
          <w:rFonts w:ascii="Arial" w:hAnsi="Arial"/>
          <w:b/>
          <w:bCs/>
          <w:sz w:val="20"/>
          <w:szCs w:val="20"/>
        </w:rPr>
        <w:t xml:space="preserve"> may continue to apply to a disposal that occurs within the normal 3-year period following cessation.</w:t>
      </w:r>
    </w:p>
    <w:p w14:paraId="3F85E376" w14:textId="75166784" w:rsidR="00B65611" w:rsidRDefault="00E306FF" w:rsidP="00B65611">
      <w:pPr>
        <w:spacing w:after="300"/>
        <w:rPr>
          <w:rFonts w:ascii="Arial" w:eastAsia="Arial" w:hAnsi="Arial" w:cs="Arial"/>
          <w:sz w:val="28"/>
          <w:szCs w:val="28"/>
        </w:rPr>
      </w:pPr>
      <w:r>
        <w:rPr>
          <w:rFonts w:ascii="Arial" w:eastAsia="Arial" w:hAnsi="Arial" w:cs="Arial"/>
          <w:sz w:val="28"/>
          <w:szCs w:val="28"/>
        </w:rPr>
        <w:t>How does the anti forestalling rule work</w:t>
      </w:r>
      <w:r w:rsidR="00B65611">
        <w:rPr>
          <w:rFonts w:ascii="Arial" w:eastAsia="Arial" w:hAnsi="Arial" w:cs="Arial"/>
          <w:sz w:val="28"/>
          <w:szCs w:val="28"/>
        </w:rPr>
        <w:t>?</w:t>
      </w:r>
    </w:p>
    <w:p w14:paraId="0E740BD9" w14:textId="6E758EE2" w:rsidR="00B65611" w:rsidRDefault="000D6CE0" w:rsidP="00B65611">
      <w:pPr>
        <w:spacing w:after="300"/>
        <w:rPr>
          <w:rFonts w:ascii="Arial" w:hAnsi="Arial"/>
          <w:sz w:val="20"/>
          <w:szCs w:val="20"/>
        </w:rPr>
      </w:pPr>
      <w:r>
        <w:rPr>
          <w:rFonts w:ascii="Arial" w:hAnsi="Arial"/>
          <w:sz w:val="20"/>
          <w:szCs w:val="20"/>
        </w:rPr>
        <w:t>The ‘anti-forestalling</w:t>
      </w:r>
      <w:r w:rsidR="00080CD2">
        <w:rPr>
          <w:rFonts w:ascii="Arial" w:hAnsi="Arial"/>
          <w:sz w:val="20"/>
          <w:szCs w:val="20"/>
        </w:rPr>
        <w:t>’ rule in the draft legislation relates to CGT</w:t>
      </w:r>
      <w:r w:rsidR="00594A99">
        <w:rPr>
          <w:rFonts w:ascii="Arial" w:hAnsi="Arial"/>
          <w:sz w:val="20"/>
          <w:szCs w:val="20"/>
        </w:rPr>
        <w:t xml:space="preserve"> reliefs, particularly</w:t>
      </w:r>
      <w:r w:rsidR="00080CD2">
        <w:rPr>
          <w:rFonts w:ascii="Arial" w:hAnsi="Arial"/>
          <w:sz w:val="20"/>
          <w:szCs w:val="20"/>
        </w:rPr>
        <w:t xml:space="preserve"> BADR.</w:t>
      </w:r>
      <w:r>
        <w:rPr>
          <w:rFonts w:ascii="Arial" w:hAnsi="Arial"/>
          <w:sz w:val="20"/>
          <w:szCs w:val="20"/>
        </w:rPr>
        <w:t xml:space="preserve"> </w:t>
      </w:r>
    </w:p>
    <w:p w14:paraId="6F3D934C" w14:textId="1CDDF2BC" w:rsidR="004916B1" w:rsidRDefault="004916B1" w:rsidP="00B65611">
      <w:pPr>
        <w:spacing w:after="300"/>
        <w:rPr>
          <w:rFonts w:ascii="Arial" w:hAnsi="Arial"/>
          <w:sz w:val="20"/>
          <w:szCs w:val="20"/>
        </w:rPr>
      </w:pPr>
      <w:r>
        <w:rPr>
          <w:rFonts w:ascii="Arial" w:hAnsi="Arial"/>
          <w:sz w:val="20"/>
          <w:szCs w:val="20"/>
        </w:rPr>
        <w:t xml:space="preserve">It </w:t>
      </w:r>
      <w:r w:rsidRPr="004916B1">
        <w:rPr>
          <w:rFonts w:ascii="Arial" w:hAnsi="Arial"/>
          <w:sz w:val="20"/>
          <w:szCs w:val="20"/>
        </w:rPr>
        <w:t xml:space="preserve">prevents </w:t>
      </w:r>
      <w:r>
        <w:rPr>
          <w:rFonts w:ascii="Arial" w:hAnsi="Arial"/>
          <w:sz w:val="20"/>
          <w:szCs w:val="20"/>
        </w:rPr>
        <w:t xml:space="preserve">the </w:t>
      </w:r>
      <w:r w:rsidRPr="004916B1">
        <w:rPr>
          <w:rFonts w:ascii="Arial" w:hAnsi="Arial"/>
          <w:sz w:val="20"/>
          <w:szCs w:val="20"/>
        </w:rPr>
        <w:t>opportunity to 'lock-in' the more favourable 2024/25 capital gains tax treatments (including the 10% BADR rate) by entering into a contract on or after 6 March 2024 but before 6 April 2025 and then having an actual date of conveyance or transfer on or after 6 April 2025.</w:t>
      </w:r>
    </w:p>
    <w:p w14:paraId="7724943E" w14:textId="77777777" w:rsidR="00083175" w:rsidRDefault="00D53E06" w:rsidP="00B65611">
      <w:pPr>
        <w:spacing w:after="300"/>
        <w:rPr>
          <w:rFonts w:ascii="Arial" w:hAnsi="Arial"/>
          <w:sz w:val="20"/>
          <w:szCs w:val="20"/>
        </w:rPr>
      </w:pPr>
      <w:r>
        <w:rPr>
          <w:rFonts w:ascii="Arial" w:hAnsi="Arial"/>
          <w:sz w:val="20"/>
          <w:szCs w:val="20"/>
        </w:rPr>
        <w:lastRenderedPageBreak/>
        <w:t xml:space="preserve">There </w:t>
      </w:r>
      <w:r w:rsidR="00467F10">
        <w:rPr>
          <w:rFonts w:ascii="Arial" w:hAnsi="Arial"/>
          <w:sz w:val="20"/>
          <w:szCs w:val="20"/>
        </w:rPr>
        <w:t>are</w:t>
      </w:r>
      <w:r>
        <w:rPr>
          <w:rFonts w:ascii="Arial" w:hAnsi="Arial"/>
          <w:sz w:val="20"/>
          <w:szCs w:val="20"/>
        </w:rPr>
        <w:t xml:space="preserve"> exception</w:t>
      </w:r>
      <w:r w:rsidR="00467F10">
        <w:rPr>
          <w:rFonts w:ascii="Arial" w:hAnsi="Arial"/>
          <w:sz w:val="20"/>
          <w:szCs w:val="20"/>
        </w:rPr>
        <w:t>s</w:t>
      </w:r>
      <w:r>
        <w:rPr>
          <w:rFonts w:ascii="Arial" w:hAnsi="Arial"/>
          <w:sz w:val="20"/>
          <w:szCs w:val="20"/>
        </w:rPr>
        <w:t xml:space="preserve"> to the rule where the </w:t>
      </w:r>
      <w:r w:rsidR="00467F10">
        <w:rPr>
          <w:rFonts w:ascii="Arial" w:hAnsi="Arial"/>
          <w:sz w:val="20"/>
          <w:szCs w:val="20"/>
        </w:rPr>
        <w:t>contract was</w:t>
      </w:r>
      <w:r w:rsidR="00083175">
        <w:rPr>
          <w:rFonts w:ascii="Arial" w:hAnsi="Arial"/>
          <w:sz w:val="20"/>
          <w:szCs w:val="20"/>
        </w:rPr>
        <w:t>:</w:t>
      </w:r>
    </w:p>
    <w:p w14:paraId="2436D0F8" w14:textId="77777777" w:rsidR="00083175" w:rsidRPr="00BC146C" w:rsidRDefault="00467F10" w:rsidP="00BC146C">
      <w:pPr>
        <w:pStyle w:val="ListParagraph"/>
        <w:numPr>
          <w:ilvl w:val="0"/>
          <w:numId w:val="28"/>
        </w:numPr>
        <w:spacing w:after="300"/>
        <w:rPr>
          <w:rFonts w:ascii="Arial" w:hAnsi="Arial"/>
          <w:sz w:val="20"/>
          <w:szCs w:val="20"/>
        </w:rPr>
      </w:pPr>
      <w:r w:rsidRPr="00BC146C">
        <w:rPr>
          <w:rFonts w:ascii="Arial" w:hAnsi="Arial"/>
          <w:sz w:val="20"/>
          <w:szCs w:val="20"/>
        </w:rPr>
        <w:t>for wholly commercial reasons</w:t>
      </w:r>
      <w:r w:rsidR="00083175" w:rsidRPr="00BC146C">
        <w:rPr>
          <w:rFonts w:ascii="Arial" w:hAnsi="Arial"/>
          <w:sz w:val="20"/>
          <w:szCs w:val="20"/>
        </w:rPr>
        <w:t>;</w:t>
      </w:r>
      <w:r w:rsidRPr="00BC146C">
        <w:rPr>
          <w:rFonts w:ascii="Arial" w:hAnsi="Arial"/>
          <w:sz w:val="20"/>
          <w:szCs w:val="20"/>
        </w:rPr>
        <w:t xml:space="preserve"> or </w:t>
      </w:r>
    </w:p>
    <w:p w14:paraId="3D5AA013" w14:textId="65FB8339" w:rsidR="00D53E06" w:rsidRPr="00BC146C" w:rsidRDefault="00467F10" w:rsidP="00BC146C">
      <w:pPr>
        <w:pStyle w:val="ListParagraph"/>
        <w:numPr>
          <w:ilvl w:val="0"/>
          <w:numId w:val="28"/>
        </w:numPr>
        <w:spacing w:after="300"/>
        <w:rPr>
          <w:rFonts w:ascii="Arial" w:hAnsi="Arial"/>
          <w:sz w:val="20"/>
          <w:szCs w:val="20"/>
        </w:rPr>
      </w:pPr>
      <w:r w:rsidRPr="00BC146C">
        <w:rPr>
          <w:rFonts w:ascii="Arial" w:hAnsi="Arial"/>
          <w:sz w:val="20"/>
          <w:szCs w:val="20"/>
        </w:rPr>
        <w:t>made with an unconnected person</w:t>
      </w:r>
      <w:r w:rsidR="00083175" w:rsidRPr="00BC146C">
        <w:rPr>
          <w:rFonts w:ascii="Arial" w:hAnsi="Arial"/>
          <w:sz w:val="20"/>
          <w:szCs w:val="20"/>
        </w:rPr>
        <w:t xml:space="preserve">; and </w:t>
      </w:r>
    </w:p>
    <w:p w14:paraId="1F8DE8E9" w14:textId="22958CCC" w:rsidR="00083175" w:rsidRDefault="00BC146C" w:rsidP="00BC146C">
      <w:pPr>
        <w:pStyle w:val="ListParagraph"/>
        <w:numPr>
          <w:ilvl w:val="0"/>
          <w:numId w:val="28"/>
        </w:numPr>
        <w:spacing w:after="300"/>
        <w:rPr>
          <w:rFonts w:ascii="Arial" w:hAnsi="Arial"/>
          <w:sz w:val="20"/>
          <w:szCs w:val="20"/>
        </w:rPr>
      </w:pPr>
      <w:r w:rsidRPr="00BC146C">
        <w:rPr>
          <w:rFonts w:ascii="Arial" w:hAnsi="Arial"/>
          <w:sz w:val="20"/>
          <w:szCs w:val="20"/>
        </w:rPr>
        <w:t>in either case no purpose of the contract was to avoid the less favourable capital gains tax treatment applicable to FHL disposals after 5 April 2025.</w:t>
      </w:r>
    </w:p>
    <w:p w14:paraId="20498527" w14:textId="7D58C213" w:rsidR="00B65611" w:rsidRDefault="00BC146C" w:rsidP="00E446DD">
      <w:pPr>
        <w:spacing w:after="300"/>
        <w:rPr>
          <w:rFonts w:ascii="Arial" w:hAnsi="Arial"/>
          <w:sz w:val="20"/>
          <w:szCs w:val="20"/>
        </w:rPr>
      </w:pPr>
      <w:r>
        <w:rPr>
          <w:rFonts w:ascii="Arial" w:hAnsi="Arial"/>
          <w:sz w:val="20"/>
          <w:szCs w:val="20"/>
        </w:rPr>
        <w:t xml:space="preserve">If the exceptions apply, </w:t>
      </w:r>
      <w:r w:rsidR="00914E4E">
        <w:rPr>
          <w:rFonts w:ascii="Arial" w:hAnsi="Arial"/>
          <w:sz w:val="20"/>
          <w:szCs w:val="20"/>
        </w:rPr>
        <w:t>a statement must be made with the claim to CGT reliefs.</w:t>
      </w:r>
    </w:p>
    <w:p w14:paraId="67BED691" w14:textId="50332558" w:rsidR="00E446DD" w:rsidRDefault="00E446DD" w:rsidP="00E446DD">
      <w:pPr>
        <w:spacing w:after="300"/>
        <w:rPr>
          <w:rFonts w:ascii="Arial" w:eastAsia="Arial" w:hAnsi="Arial" w:cs="Arial"/>
          <w:sz w:val="28"/>
          <w:szCs w:val="28"/>
        </w:rPr>
      </w:pPr>
      <w:r>
        <w:rPr>
          <w:rFonts w:ascii="Arial" w:eastAsia="Arial" w:hAnsi="Arial" w:cs="Arial"/>
          <w:sz w:val="28"/>
          <w:szCs w:val="28"/>
        </w:rPr>
        <w:t>Will the VAT treatment change?</w:t>
      </w:r>
    </w:p>
    <w:p w14:paraId="36D75FEE" w14:textId="711245C2" w:rsidR="00887EF4" w:rsidRPr="00887EF4" w:rsidRDefault="00887EF4" w:rsidP="00887EF4">
      <w:pPr>
        <w:spacing w:after="300"/>
        <w:rPr>
          <w:rFonts w:ascii="Arial" w:hAnsi="Arial"/>
          <w:sz w:val="20"/>
          <w:szCs w:val="20"/>
        </w:rPr>
      </w:pPr>
      <w:r w:rsidRPr="00887EF4">
        <w:rPr>
          <w:rFonts w:ascii="Arial" w:hAnsi="Arial"/>
          <w:sz w:val="20"/>
          <w:szCs w:val="20"/>
        </w:rPr>
        <w:t xml:space="preserve">The VAT treatment of holiday lettings is unlikely to change when the FHL regime is abolished. Currently, as per the VAT </w:t>
      </w:r>
      <w:r>
        <w:rPr>
          <w:rFonts w:ascii="Arial" w:hAnsi="Arial"/>
          <w:sz w:val="20"/>
          <w:szCs w:val="20"/>
        </w:rPr>
        <w:t xml:space="preserve">legislation, </w:t>
      </w:r>
      <w:r w:rsidRPr="00887EF4">
        <w:rPr>
          <w:rFonts w:ascii="Arial" w:hAnsi="Arial"/>
          <w:sz w:val="20"/>
          <w:szCs w:val="20"/>
        </w:rPr>
        <w:t xml:space="preserve"> ‘holiday accommodation’ is standard-rated. For this purpose, ‘holiday accommodation’ is any accommodation in a building, hut, caravan, houseboat or tent that is advertised as suitable for holiday or leisure use. It is irrelevant whether the property qualifies as an FHL property.</w:t>
      </w:r>
    </w:p>
    <w:p w14:paraId="7F87FC5B" w14:textId="77777777" w:rsidR="00887EF4" w:rsidRPr="00887EF4" w:rsidRDefault="00887EF4" w:rsidP="00887EF4">
      <w:pPr>
        <w:spacing w:after="300"/>
        <w:rPr>
          <w:rFonts w:ascii="Arial" w:hAnsi="Arial"/>
          <w:sz w:val="20"/>
          <w:szCs w:val="20"/>
        </w:rPr>
      </w:pPr>
      <w:r w:rsidRPr="00887EF4">
        <w:rPr>
          <w:rFonts w:ascii="Arial" w:hAnsi="Arial"/>
          <w:sz w:val="20"/>
          <w:szCs w:val="20"/>
        </w:rPr>
        <w:t>If however, as a result of the changes, the property owner switches to providing living accommodation, the supply will become exempt.</w:t>
      </w:r>
    </w:p>
    <w:p w14:paraId="1E7868E4" w14:textId="779FC2E7" w:rsidR="002E299A" w:rsidRDefault="002E299A" w:rsidP="002E299A">
      <w:pPr>
        <w:spacing w:after="300"/>
        <w:rPr>
          <w:rFonts w:ascii="Arial" w:eastAsia="Arial" w:hAnsi="Arial" w:cs="Arial"/>
          <w:sz w:val="28"/>
          <w:szCs w:val="28"/>
        </w:rPr>
      </w:pPr>
      <w:r>
        <w:rPr>
          <w:rFonts w:ascii="Arial" w:eastAsia="Arial" w:hAnsi="Arial" w:cs="Arial"/>
          <w:sz w:val="28"/>
          <w:szCs w:val="28"/>
        </w:rPr>
        <w:t>How can you prepare for th</w:t>
      </w:r>
      <w:r w:rsidR="00887EF4">
        <w:rPr>
          <w:rFonts w:ascii="Arial" w:eastAsia="Arial" w:hAnsi="Arial" w:cs="Arial"/>
          <w:sz w:val="28"/>
          <w:szCs w:val="28"/>
        </w:rPr>
        <w:t>e</w:t>
      </w:r>
      <w:r>
        <w:rPr>
          <w:rFonts w:ascii="Arial" w:eastAsia="Arial" w:hAnsi="Arial" w:cs="Arial"/>
          <w:sz w:val="28"/>
          <w:szCs w:val="28"/>
        </w:rPr>
        <w:t xml:space="preserve"> change</w:t>
      </w:r>
      <w:r w:rsidR="00887EF4">
        <w:rPr>
          <w:rFonts w:ascii="Arial" w:eastAsia="Arial" w:hAnsi="Arial" w:cs="Arial"/>
          <w:sz w:val="28"/>
          <w:szCs w:val="28"/>
        </w:rPr>
        <w:t>s</w:t>
      </w:r>
      <w:r>
        <w:rPr>
          <w:rFonts w:ascii="Arial" w:eastAsia="Arial" w:hAnsi="Arial" w:cs="Arial"/>
          <w:sz w:val="28"/>
          <w:szCs w:val="28"/>
        </w:rPr>
        <w:t>?</w:t>
      </w:r>
    </w:p>
    <w:p w14:paraId="0C5CA422" w14:textId="058D9CA7" w:rsidR="002E299A" w:rsidRDefault="00346250" w:rsidP="002E299A">
      <w:pPr>
        <w:spacing w:after="300"/>
        <w:rPr>
          <w:rFonts w:ascii="Arial" w:hAnsi="Arial"/>
          <w:sz w:val="20"/>
          <w:szCs w:val="20"/>
        </w:rPr>
      </w:pPr>
      <w:r>
        <w:rPr>
          <w:rFonts w:ascii="Arial" w:hAnsi="Arial"/>
          <w:sz w:val="20"/>
          <w:szCs w:val="20"/>
        </w:rPr>
        <w:t xml:space="preserve">Understanding the implications of the FHL abolition </w:t>
      </w:r>
      <w:r w:rsidR="004E2258">
        <w:rPr>
          <w:rFonts w:ascii="Arial" w:hAnsi="Arial"/>
          <w:sz w:val="20"/>
          <w:szCs w:val="20"/>
        </w:rPr>
        <w:t xml:space="preserve">is important. Ask us for a copy of our factsheets on </w:t>
      </w:r>
      <w:r w:rsidR="00392A81">
        <w:rPr>
          <w:rFonts w:ascii="Arial" w:hAnsi="Arial"/>
          <w:sz w:val="20"/>
          <w:szCs w:val="20"/>
        </w:rPr>
        <w:t>the Finance Cost Restriction</w:t>
      </w:r>
      <w:r w:rsidR="006218CA">
        <w:rPr>
          <w:rFonts w:ascii="Arial" w:hAnsi="Arial"/>
          <w:sz w:val="20"/>
          <w:szCs w:val="20"/>
        </w:rPr>
        <w:t>, Repair</w:t>
      </w:r>
      <w:r w:rsidR="00617B12">
        <w:rPr>
          <w:rFonts w:ascii="Arial" w:hAnsi="Arial"/>
          <w:sz w:val="20"/>
          <w:szCs w:val="20"/>
        </w:rPr>
        <w:t>s or Improvements,</w:t>
      </w:r>
      <w:r w:rsidR="00392A81">
        <w:rPr>
          <w:rFonts w:ascii="Arial" w:hAnsi="Arial"/>
          <w:sz w:val="20"/>
          <w:szCs w:val="20"/>
        </w:rPr>
        <w:t xml:space="preserve"> and Replacement of Domestic Items Relief.</w:t>
      </w:r>
    </w:p>
    <w:p w14:paraId="28BDB702" w14:textId="525C6B80" w:rsidR="00392A81" w:rsidRDefault="000D3E45" w:rsidP="002E299A">
      <w:pPr>
        <w:spacing w:after="300"/>
        <w:rPr>
          <w:rFonts w:ascii="Arial" w:hAnsi="Arial"/>
          <w:sz w:val="20"/>
          <w:szCs w:val="20"/>
        </w:rPr>
      </w:pPr>
      <w:r>
        <w:rPr>
          <w:rFonts w:ascii="Arial" w:hAnsi="Arial"/>
          <w:sz w:val="20"/>
          <w:szCs w:val="20"/>
        </w:rPr>
        <w:t>Once you are familiar with how the new rules will work,</w:t>
      </w:r>
      <w:r w:rsidR="00425334">
        <w:rPr>
          <w:rFonts w:ascii="Arial" w:hAnsi="Arial"/>
          <w:sz w:val="20"/>
          <w:szCs w:val="20"/>
        </w:rPr>
        <w:t xml:space="preserve"> the next step is to</w:t>
      </w:r>
      <w:r>
        <w:rPr>
          <w:rFonts w:ascii="Arial" w:hAnsi="Arial"/>
          <w:sz w:val="20"/>
          <w:szCs w:val="20"/>
        </w:rPr>
        <w:t xml:space="preserve"> foreca</w:t>
      </w:r>
      <w:r w:rsidR="00425334">
        <w:rPr>
          <w:rFonts w:ascii="Arial" w:hAnsi="Arial"/>
          <w:sz w:val="20"/>
          <w:szCs w:val="20"/>
        </w:rPr>
        <w:t>st</w:t>
      </w:r>
      <w:r>
        <w:rPr>
          <w:rFonts w:ascii="Arial" w:hAnsi="Arial"/>
          <w:sz w:val="20"/>
          <w:szCs w:val="20"/>
        </w:rPr>
        <w:t xml:space="preserve"> for </w:t>
      </w:r>
      <w:r w:rsidR="00425334">
        <w:rPr>
          <w:rFonts w:ascii="Arial" w:hAnsi="Arial"/>
          <w:sz w:val="20"/>
          <w:szCs w:val="20"/>
        </w:rPr>
        <w:t>potential increases in your tax bill.</w:t>
      </w:r>
    </w:p>
    <w:p w14:paraId="377FA228" w14:textId="37A66FBE" w:rsidR="00A86DFA" w:rsidRPr="00A86DFA" w:rsidRDefault="00DE7DBA" w:rsidP="00A86DFA">
      <w:pPr>
        <w:spacing w:after="300"/>
        <w:rPr>
          <w:rFonts w:ascii="Arial" w:hAnsi="Arial"/>
          <w:sz w:val="20"/>
          <w:szCs w:val="20"/>
        </w:rPr>
      </w:pPr>
      <w:r>
        <w:rPr>
          <w:rFonts w:ascii="Arial" w:hAnsi="Arial"/>
          <w:sz w:val="20"/>
          <w:szCs w:val="20"/>
        </w:rPr>
        <w:t>The timing of expenditure may affect your tax bill</w:t>
      </w:r>
      <w:r w:rsidR="009B67FD">
        <w:rPr>
          <w:rFonts w:ascii="Arial" w:hAnsi="Arial"/>
          <w:sz w:val="20"/>
          <w:szCs w:val="20"/>
        </w:rPr>
        <w:t>.</w:t>
      </w:r>
      <w:r w:rsidR="00A86DFA">
        <w:rPr>
          <w:rFonts w:ascii="Arial" w:hAnsi="Arial"/>
          <w:sz w:val="20"/>
          <w:szCs w:val="20"/>
        </w:rPr>
        <w:t xml:space="preserve"> </w:t>
      </w:r>
      <w:r w:rsidR="00A86DFA" w:rsidRPr="00A86DFA">
        <w:rPr>
          <w:rFonts w:ascii="Arial" w:hAnsi="Arial"/>
          <w:sz w:val="20"/>
          <w:szCs w:val="20"/>
        </w:rPr>
        <w:t xml:space="preserve">For example, </w:t>
      </w:r>
      <w:r w:rsidR="004832EF">
        <w:rPr>
          <w:rFonts w:ascii="Arial" w:hAnsi="Arial"/>
          <w:sz w:val="20"/>
          <w:szCs w:val="20"/>
        </w:rPr>
        <w:t>if you are</w:t>
      </w:r>
      <w:r w:rsidR="00A86DFA" w:rsidRPr="00A86DFA">
        <w:rPr>
          <w:rFonts w:ascii="Arial" w:hAnsi="Arial"/>
          <w:sz w:val="20"/>
          <w:szCs w:val="20"/>
        </w:rPr>
        <w:t xml:space="preserve"> planning a loft conversion to create an extra bedroom,</w:t>
      </w:r>
      <w:r w:rsidR="004832EF">
        <w:rPr>
          <w:rFonts w:ascii="Arial" w:hAnsi="Arial"/>
          <w:sz w:val="20"/>
          <w:szCs w:val="20"/>
        </w:rPr>
        <w:t xml:space="preserve"> or anything that HMRC would consider</w:t>
      </w:r>
      <w:r w:rsidR="00A86DFA" w:rsidRPr="00A86DFA">
        <w:rPr>
          <w:rFonts w:ascii="Arial" w:hAnsi="Arial"/>
          <w:sz w:val="20"/>
          <w:szCs w:val="20"/>
        </w:rPr>
        <w:t xml:space="preserve"> to be an enhancement to the property</w:t>
      </w:r>
      <w:r w:rsidR="004832EF">
        <w:rPr>
          <w:rFonts w:ascii="Arial" w:hAnsi="Arial"/>
          <w:sz w:val="20"/>
          <w:szCs w:val="20"/>
        </w:rPr>
        <w:t xml:space="preserve">, </w:t>
      </w:r>
      <w:r w:rsidR="00BA025E">
        <w:rPr>
          <w:rFonts w:ascii="Arial" w:hAnsi="Arial"/>
          <w:sz w:val="20"/>
          <w:szCs w:val="20"/>
        </w:rPr>
        <w:t xml:space="preserve">you </w:t>
      </w:r>
      <w:r w:rsidR="00BA025E" w:rsidRPr="00BA025E">
        <w:rPr>
          <w:rFonts w:ascii="Arial" w:hAnsi="Arial"/>
          <w:sz w:val="20"/>
          <w:szCs w:val="20"/>
        </w:rPr>
        <w:t>may wish to consider accelerating the project to a date before April 2025</w:t>
      </w:r>
      <w:r w:rsidR="00BA025E">
        <w:rPr>
          <w:rFonts w:ascii="Arial" w:hAnsi="Arial"/>
          <w:sz w:val="20"/>
          <w:szCs w:val="20"/>
        </w:rPr>
        <w:t>.</w:t>
      </w:r>
    </w:p>
    <w:p w14:paraId="367C9CB8" w14:textId="77777777" w:rsidR="00A86DFA" w:rsidRPr="00A86DFA" w:rsidRDefault="00A86DFA" w:rsidP="00A86DFA">
      <w:pPr>
        <w:spacing w:after="300"/>
        <w:rPr>
          <w:rFonts w:ascii="Arial" w:hAnsi="Arial"/>
          <w:sz w:val="20"/>
          <w:szCs w:val="20"/>
        </w:rPr>
      </w:pPr>
      <w:r w:rsidRPr="00A86DFA">
        <w:rPr>
          <w:rFonts w:ascii="Arial" w:hAnsi="Arial"/>
          <w:sz w:val="20"/>
          <w:szCs w:val="20"/>
        </w:rPr>
        <w:t>If the expenditure is incurred before 6 April 2025, plant and machinery capital allowances (including the 100% annual investment allowance) may be available on certain components; including upgrades to the central heating system to cover the new room and new furnishings acquired for it.</w:t>
      </w:r>
    </w:p>
    <w:p w14:paraId="6594FD8F" w14:textId="07198C8A" w:rsidR="00A86DFA" w:rsidRDefault="00A86DFA" w:rsidP="00A86DFA">
      <w:pPr>
        <w:spacing w:after="300"/>
        <w:rPr>
          <w:rFonts w:ascii="Arial" w:hAnsi="Arial"/>
          <w:sz w:val="20"/>
          <w:szCs w:val="20"/>
        </w:rPr>
      </w:pPr>
      <w:r w:rsidRPr="00A86DFA">
        <w:rPr>
          <w:rFonts w:ascii="Arial" w:hAnsi="Arial"/>
          <w:sz w:val="20"/>
          <w:szCs w:val="20"/>
        </w:rPr>
        <w:t>If the expenditure is incurred on or after 6 April 2025, upgrading the central heating system will be classed as a capital enhancement to the property but with no tax relief given until a later capital disposal. The new furnishings will not be replacements and so no tax relief will be due under the 'replacement of domestic items relief' regime</w:t>
      </w:r>
      <w:r w:rsidR="00B925E7">
        <w:rPr>
          <w:rFonts w:ascii="Arial" w:hAnsi="Arial"/>
          <w:sz w:val="20"/>
          <w:szCs w:val="20"/>
        </w:rPr>
        <w:t>.</w:t>
      </w:r>
    </w:p>
    <w:p w14:paraId="275B9FBF" w14:textId="658ADB59" w:rsidR="00780EC6" w:rsidRDefault="00780EC6" w:rsidP="00A86DFA">
      <w:pPr>
        <w:spacing w:after="300"/>
        <w:rPr>
          <w:rFonts w:ascii="Arial" w:hAnsi="Arial"/>
          <w:sz w:val="20"/>
          <w:szCs w:val="20"/>
        </w:rPr>
      </w:pPr>
      <w:r w:rsidRPr="00780EC6">
        <w:rPr>
          <w:rFonts w:ascii="Arial" w:hAnsi="Arial"/>
          <w:sz w:val="20"/>
          <w:szCs w:val="20"/>
        </w:rPr>
        <w:t>If you have not done so already, ascertaining legitimate values of the integral features in the property will add value to the capital allowances special rate pool so that writing down allowances can be claimed (at 6% per annum) after the FHL regime is abolished. This should be done prior to April 2025 - a specialist capital allowances surveyor can help to ascertain the values</w:t>
      </w:r>
      <w:r>
        <w:rPr>
          <w:rFonts w:ascii="Arial" w:hAnsi="Arial"/>
          <w:sz w:val="20"/>
          <w:szCs w:val="20"/>
        </w:rPr>
        <w:t>.</w:t>
      </w:r>
    </w:p>
    <w:p w14:paraId="12BA7B4C" w14:textId="43781928" w:rsidR="00780EC6" w:rsidRPr="00A86DFA" w:rsidRDefault="00780EC6" w:rsidP="00A86DFA">
      <w:pPr>
        <w:spacing w:after="300"/>
        <w:rPr>
          <w:rFonts w:ascii="Arial" w:hAnsi="Arial"/>
          <w:sz w:val="20"/>
          <w:szCs w:val="20"/>
        </w:rPr>
      </w:pPr>
      <w:r>
        <w:rPr>
          <w:rFonts w:ascii="Arial" w:hAnsi="Arial"/>
          <w:sz w:val="20"/>
          <w:szCs w:val="20"/>
        </w:rPr>
        <w:t>Of course, the abolition of the FHL</w:t>
      </w:r>
      <w:r w:rsidR="004B4A1A">
        <w:rPr>
          <w:rFonts w:ascii="Arial" w:hAnsi="Arial"/>
          <w:sz w:val="20"/>
          <w:szCs w:val="20"/>
        </w:rPr>
        <w:t xml:space="preserve"> regime</w:t>
      </w:r>
      <w:r>
        <w:rPr>
          <w:rFonts w:ascii="Arial" w:hAnsi="Arial"/>
          <w:sz w:val="20"/>
          <w:szCs w:val="20"/>
        </w:rPr>
        <w:t xml:space="preserve"> may make you decide to sell your FHL property.</w:t>
      </w:r>
      <w:r w:rsidR="0052628E">
        <w:rPr>
          <w:rFonts w:ascii="Arial" w:hAnsi="Arial"/>
          <w:sz w:val="20"/>
          <w:szCs w:val="20"/>
        </w:rPr>
        <w:t xml:space="preserve"> If this applies to you, timing is key </w:t>
      </w:r>
      <w:r w:rsidR="00E6541B">
        <w:rPr>
          <w:rFonts w:ascii="Arial" w:hAnsi="Arial"/>
          <w:sz w:val="20"/>
          <w:szCs w:val="20"/>
        </w:rPr>
        <w:t>so that you can maximise an</w:t>
      </w:r>
      <w:r w:rsidR="004B4A1A">
        <w:rPr>
          <w:rFonts w:ascii="Arial" w:hAnsi="Arial"/>
          <w:sz w:val="20"/>
          <w:szCs w:val="20"/>
        </w:rPr>
        <w:t>y</w:t>
      </w:r>
      <w:r w:rsidR="00E6541B">
        <w:rPr>
          <w:rFonts w:ascii="Arial" w:hAnsi="Arial"/>
          <w:sz w:val="20"/>
          <w:szCs w:val="20"/>
        </w:rPr>
        <w:t xml:space="preserve"> CGT reliefs.</w:t>
      </w:r>
    </w:p>
    <w:p w14:paraId="397A55C6" w14:textId="7D9F29EC" w:rsidR="00C65207" w:rsidRDefault="00E6541B" w:rsidP="00442875">
      <w:pPr>
        <w:spacing w:after="300"/>
        <w:rPr>
          <w:rFonts w:ascii="Arial" w:hAnsi="Arial"/>
          <w:sz w:val="20"/>
          <w:szCs w:val="20"/>
        </w:rPr>
      </w:pPr>
      <w:r w:rsidRPr="00E6541B">
        <w:rPr>
          <w:rFonts w:ascii="Arial" w:hAnsi="Arial"/>
          <w:sz w:val="20"/>
          <w:szCs w:val="20"/>
        </w:rPr>
        <w:t xml:space="preserve">Alternatively, you may wish to consider incorporating </w:t>
      </w:r>
      <w:r>
        <w:rPr>
          <w:rFonts w:ascii="Arial" w:hAnsi="Arial"/>
          <w:sz w:val="20"/>
          <w:szCs w:val="20"/>
        </w:rPr>
        <w:t>your property business</w:t>
      </w:r>
      <w:r w:rsidR="000151A4">
        <w:rPr>
          <w:rFonts w:ascii="Arial" w:hAnsi="Arial"/>
          <w:sz w:val="20"/>
          <w:szCs w:val="20"/>
        </w:rPr>
        <w:t>. There are pros and cons of doing this and we recommend obtaining specialist advice.</w:t>
      </w:r>
    </w:p>
    <w:p w14:paraId="33D7D157" w14:textId="77777777" w:rsidR="00104494" w:rsidRDefault="00394345" w:rsidP="00BC082A">
      <w:pPr>
        <w:spacing w:after="300"/>
        <w:rPr>
          <w:rFonts w:ascii="Arial" w:hAnsi="Arial"/>
          <w:sz w:val="20"/>
          <w:szCs w:val="20"/>
        </w:rPr>
      </w:pPr>
      <w:r w:rsidRPr="0055166D">
        <w:rPr>
          <w:rFonts w:ascii="Arial" w:hAnsi="Arial"/>
          <w:sz w:val="28"/>
          <w:szCs w:val="28"/>
        </w:rPr>
        <w:t>Further information</w:t>
      </w:r>
      <w:r w:rsidR="00163FAC">
        <w:rPr>
          <w:rFonts w:ascii="Arial" w:hAnsi="Arial"/>
          <w:sz w:val="20"/>
          <w:szCs w:val="20"/>
        </w:rPr>
        <w:t xml:space="preserve"> </w:t>
      </w:r>
    </w:p>
    <w:p w14:paraId="5652C46D" w14:textId="451B8D3F" w:rsidR="009C3BE4" w:rsidRDefault="000151A4" w:rsidP="00BC082A">
      <w:pPr>
        <w:spacing w:after="300"/>
        <w:rPr>
          <w:rFonts w:ascii="Arial" w:hAnsi="Arial"/>
          <w:sz w:val="20"/>
          <w:szCs w:val="20"/>
        </w:rPr>
      </w:pPr>
      <w:r>
        <w:rPr>
          <w:rFonts w:ascii="Arial" w:hAnsi="Arial"/>
          <w:sz w:val="20"/>
          <w:szCs w:val="20"/>
        </w:rPr>
        <w:t xml:space="preserve">If you’d like any further information regarding </w:t>
      </w:r>
      <w:r w:rsidR="004E24FE">
        <w:rPr>
          <w:rFonts w:ascii="Arial" w:hAnsi="Arial"/>
          <w:sz w:val="20"/>
          <w:szCs w:val="20"/>
        </w:rPr>
        <w:t>the FHL abolition and how it may affect your personal situation, please speak to us – we will be happy to help.</w:t>
      </w:r>
    </w:p>
    <w:p w14:paraId="0ACDBAA4" w14:textId="24D18AFE" w:rsidR="004E24FE" w:rsidRPr="00402C5F" w:rsidRDefault="00CB46E2" w:rsidP="00BC082A">
      <w:pPr>
        <w:spacing w:after="300"/>
        <w:rPr>
          <w:rFonts w:ascii="Arial" w:hAnsi="Arial"/>
          <w:sz w:val="20"/>
          <w:szCs w:val="20"/>
        </w:rPr>
      </w:pPr>
      <w:r>
        <w:rPr>
          <w:rFonts w:ascii="Arial" w:hAnsi="Arial"/>
          <w:sz w:val="20"/>
          <w:szCs w:val="20"/>
        </w:rPr>
        <w:t xml:space="preserve">To read the draft legislation and </w:t>
      </w:r>
      <w:r w:rsidR="00093411">
        <w:rPr>
          <w:rFonts w:ascii="Arial" w:hAnsi="Arial"/>
          <w:sz w:val="20"/>
          <w:szCs w:val="20"/>
        </w:rPr>
        <w:t xml:space="preserve">its accompanying explanations, please see: </w:t>
      </w:r>
      <w:hyperlink r:id="rId9" w:history="1">
        <w:r w:rsidR="00CA1406" w:rsidRPr="00CA1406">
          <w:rPr>
            <w:rStyle w:val="Hyperlink"/>
            <w:rFonts w:ascii="Arial" w:hAnsi="Arial"/>
            <w:sz w:val="20"/>
            <w:szCs w:val="20"/>
          </w:rPr>
          <w:t>https://www.gov.uk/government/publications/furnished-holiday-lettings-tax-regime-abolition</w:t>
        </w:r>
      </w:hyperlink>
    </w:p>
    <w:sectPr w:rsidR="004E24FE" w:rsidRPr="00402C5F">
      <w:headerReference w:type="default" r:id="rId10"/>
      <w:footerReference w:type="default" r:id="rId11"/>
      <w:pgSz w:w="11909" w:h="16834"/>
      <w:pgMar w:top="1275" w:right="1440" w:bottom="688" w:left="1440" w:header="720" w:footer="420" w:gutter="0"/>
      <w:pgNumType w:start="1"/>
      <w:cols w:num="2" w:space="720" w:equalWidth="0">
        <w:col w:w="4152" w:space="720"/>
        <w:col w:w="4152"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C544CC4" w14:textId="77777777" w:rsidR="00573F9A" w:rsidRDefault="00573F9A">
      <w:r>
        <w:separator/>
      </w:r>
    </w:p>
  </w:endnote>
  <w:endnote w:type="continuationSeparator" w:id="0">
    <w:p w14:paraId="1B4982A1" w14:textId="77777777" w:rsidR="00573F9A" w:rsidRDefault="00573F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7822CF" w14:textId="77777777" w:rsidR="009C1A1D" w:rsidRDefault="009C1A1D">
    <w:pPr>
      <w:jc w:val="center"/>
      <w:rPr>
        <w:i/>
      </w:rPr>
    </w:pPr>
  </w:p>
  <w:p w14:paraId="3DDC24A9" w14:textId="77777777" w:rsidR="009C1A1D" w:rsidRDefault="00000000">
    <w:pPr>
      <w:jc w:val="center"/>
      <w:rPr>
        <w:i/>
      </w:rPr>
    </w:pPr>
    <w:r>
      <w:rPr>
        <w:noProof/>
      </w:rPr>
      <w:pict w14:anchorId="7FE8DD3E">
        <v:rect id="_x0000_i1025" alt="" style="width:451.3pt;height:.05pt;mso-width-percent:0;mso-height-percent:0;mso-width-percent:0;mso-height-percent:0" o:hralign="center" o:hrstd="t" o:hr="t" fillcolor="#a0a0a0" stroked="f"/>
      </w:pict>
    </w:r>
  </w:p>
  <w:p w14:paraId="4177297B" w14:textId="77777777" w:rsidR="009C1A1D" w:rsidRDefault="00DA4FB1">
    <w:pPr>
      <w:jc w:val="center"/>
      <w:rPr>
        <w:color w:val="999999"/>
        <w:sz w:val="20"/>
        <w:szCs w:val="20"/>
      </w:rPr>
    </w:pPr>
    <w:r>
      <w:rPr>
        <w:i/>
      </w:rPr>
      <w:t>We hope that you find this informative. Please contact us to discuss any matters further.</w:t>
    </w:r>
  </w:p>
  <w:p w14:paraId="137F3578" w14:textId="77777777" w:rsidR="009C1A1D" w:rsidRDefault="009C1A1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CCB561" w14:textId="77777777" w:rsidR="00573F9A" w:rsidRDefault="00573F9A">
      <w:r>
        <w:separator/>
      </w:r>
    </w:p>
  </w:footnote>
  <w:footnote w:type="continuationSeparator" w:id="0">
    <w:p w14:paraId="6EC4FCCA" w14:textId="77777777" w:rsidR="00573F9A" w:rsidRDefault="00573F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508AEE" w14:textId="79F14785" w:rsidR="009C1A1D" w:rsidRDefault="00DA4FB1">
    <w:r>
      <w:rPr>
        <w:noProof/>
      </w:rPr>
      <w:drawing>
        <wp:anchor distT="0" distB="0" distL="114300" distR="114300" simplePos="0" relativeHeight="251659264" behindDoc="1" locked="0" layoutInCell="1" allowOverlap="1" wp14:anchorId="78312B0F" wp14:editId="22C4BB17">
          <wp:simplePos x="0" y="0"/>
          <wp:positionH relativeFrom="margin">
            <wp:posOffset>5238750</wp:posOffset>
          </wp:positionH>
          <wp:positionV relativeFrom="paragraph">
            <wp:posOffset>-333375</wp:posOffset>
          </wp:positionV>
          <wp:extent cx="429895" cy="628015"/>
          <wp:effectExtent l="0" t="0" r="8255" b="635"/>
          <wp:wrapTight wrapText="bothSides">
            <wp:wrapPolygon edited="0">
              <wp:start x="0" y="0"/>
              <wp:lineTo x="0" y="20967"/>
              <wp:lineTo x="21058" y="20967"/>
              <wp:lineTo x="21058" y="0"/>
              <wp:lineTo x="0" y="0"/>
            </wp:wrapPolygon>
          </wp:wrapTight>
          <wp:docPr id="367560114" name="Picture 3" descr="A picture containing font, graphics, tex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560114" name="Picture 3" descr="A picture containing font, graphics, text,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9895" cy="6280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114300" distB="114300" distL="114300" distR="114300" simplePos="0" relativeHeight="251658240" behindDoc="1" locked="0" layoutInCell="1" hidden="0" allowOverlap="1" wp14:anchorId="3E4504B6" wp14:editId="03D9F765">
          <wp:simplePos x="0" y="0"/>
          <wp:positionH relativeFrom="column">
            <wp:posOffset>1</wp:posOffset>
          </wp:positionH>
          <wp:positionV relativeFrom="paragraph">
            <wp:posOffset>-304799</wp:posOffset>
          </wp:positionV>
          <wp:extent cx="871538" cy="533329"/>
          <wp:effectExtent l="0" t="0" r="0"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871538" cy="533329"/>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4431AB"/>
    <w:multiLevelType w:val="hybridMultilevel"/>
    <w:tmpl w:val="66E000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064F4D"/>
    <w:multiLevelType w:val="hybridMultilevel"/>
    <w:tmpl w:val="F4ECCB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5640EA"/>
    <w:multiLevelType w:val="multilevel"/>
    <w:tmpl w:val="49281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1117EB9"/>
    <w:multiLevelType w:val="hybridMultilevel"/>
    <w:tmpl w:val="99886E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3F192C"/>
    <w:multiLevelType w:val="multilevel"/>
    <w:tmpl w:val="C7742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1295D67"/>
    <w:multiLevelType w:val="multilevel"/>
    <w:tmpl w:val="23B66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2597071"/>
    <w:multiLevelType w:val="multilevel"/>
    <w:tmpl w:val="FDA2C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2F41DEF"/>
    <w:multiLevelType w:val="multilevel"/>
    <w:tmpl w:val="3FFACB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3494F0C"/>
    <w:multiLevelType w:val="multilevel"/>
    <w:tmpl w:val="B0C27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40D38AF"/>
    <w:multiLevelType w:val="hybridMultilevel"/>
    <w:tmpl w:val="AF56E3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21B65C5"/>
    <w:multiLevelType w:val="multilevel"/>
    <w:tmpl w:val="209C4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23553F9"/>
    <w:multiLevelType w:val="hybridMultilevel"/>
    <w:tmpl w:val="8F8C56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3C84859"/>
    <w:multiLevelType w:val="multilevel"/>
    <w:tmpl w:val="83282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3862A9E"/>
    <w:multiLevelType w:val="hybridMultilevel"/>
    <w:tmpl w:val="48C4DD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3C8056F"/>
    <w:multiLevelType w:val="multilevel"/>
    <w:tmpl w:val="3DA07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83E2D34"/>
    <w:multiLevelType w:val="multilevel"/>
    <w:tmpl w:val="CF7AF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85D4CAF"/>
    <w:multiLevelType w:val="hybridMultilevel"/>
    <w:tmpl w:val="386E1C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25007A9"/>
    <w:multiLevelType w:val="hybridMultilevel"/>
    <w:tmpl w:val="2DB4BA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79658FE"/>
    <w:multiLevelType w:val="multilevel"/>
    <w:tmpl w:val="AAE46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8A45805"/>
    <w:multiLevelType w:val="hybridMultilevel"/>
    <w:tmpl w:val="000666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4031B2E"/>
    <w:multiLevelType w:val="hybridMultilevel"/>
    <w:tmpl w:val="BB647E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9C206EA"/>
    <w:multiLevelType w:val="hybridMultilevel"/>
    <w:tmpl w:val="F9663F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B195A9D"/>
    <w:multiLevelType w:val="hybridMultilevel"/>
    <w:tmpl w:val="E4147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BB66D98"/>
    <w:multiLevelType w:val="multilevel"/>
    <w:tmpl w:val="4E36D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DDA05DF"/>
    <w:multiLevelType w:val="hybridMultilevel"/>
    <w:tmpl w:val="D62AAE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7E44A8B"/>
    <w:multiLevelType w:val="multilevel"/>
    <w:tmpl w:val="DB2A8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B1F213A"/>
    <w:multiLevelType w:val="multilevel"/>
    <w:tmpl w:val="D01C6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B204996"/>
    <w:multiLevelType w:val="hybridMultilevel"/>
    <w:tmpl w:val="7ADE13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9246213">
    <w:abstractNumId w:val="7"/>
  </w:num>
  <w:num w:numId="2" w16cid:durableId="1909992846">
    <w:abstractNumId w:val="26"/>
  </w:num>
  <w:num w:numId="3" w16cid:durableId="1761177254">
    <w:abstractNumId w:val="5"/>
  </w:num>
  <w:num w:numId="4" w16cid:durableId="1140920953">
    <w:abstractNumId w:val="22"/>
  </w:num>
  <w:num w:numId="5" w16cid:durableId="1158690403">
    <w:abstractNumId w:val="14"/>
  </w:num>
  <w:num w:numId="6" w16cid:durableId="14038207">
    <w:abstractNumId w:val="6"/>
  </w:num>
  <w:num w:numId="7" w16cid:durableId="1193960869">
    <w:abstractNumId w:val="23"/>
  </w:num>
  <w:num w:numId="8" w16cid:durableId="266892806">
    <w:abstractNumId w:val="9"/>
  </w:num>
  <w:num w:numId="9" w16cid:durableId="762411334">
    <w:abstractNumId w:val="1"/>
  </w:num>
  <w:num w:numId="10" w16cid:durableId="1740135011">
    <w:abstractNumId w:val="19"/>
  </w:num>
  <w:num w:numId="11" w16cid:durableId="2002659532">
    <w:abstractNumId w:val="12"/>
  </w:num>
  <w:num w:numId="12" w16cid:durableId="1106778948">
    <w:abstractNumId w:val="4"/>
  </w:num>
  <w:num w:numId="13" w16cid:durableId="577523780">
    <w:abstractNumId w:val="3"/>
  </w:num>
  <w:num w:numId="14" w16cid:durableId="2136437585">
    <w:abstractNumId w:val="25"/>
  </w:num>
  <w:num w:numId="15" w16cid:durableId="1715688679">
    <w:abstractNumId w:val="10"/>
  </w:num>
  <w:num w:numId="16" w16cid:durableId="1473861709">
    <w:abstractNumId w:val="8"/>
  </w:num>
  <w:num w:numId="17" w16cid:durableId="716470955">
    <w:abstractNumId w:val="2"/>
  </w:num>
  <w:num w:numId="18" w16cid:durableId="1611862382">
    <w:abstractNumId w:val="15"/>
  </w:num>
  <w:num w:numId="19" w16cid:durableId="1314718057">
    <w:abstractNumId w:val="18"/>
  </w:num>
  <w:num w:numId="20" w16cid:durableId="967513277">
    <w:abstractNumId w:val="17"/>
  </w:num>
  <w:num w:numId="21" w16cid:durableId="1360202251">
    <w:abstractNumId w:val="24"/>
  </w:num>
  <w:num w:numId="22" w16cid:durableId="825704118">
    <w:abstractNumId w:val="0"/>
  </w:num>
  <w:num w:numId="23" w16cid:durableId="15665053">
    <w:abstractNumId w:val="13"/>
  </w:num>
  <w:num w:numId="24" w16cid:durableId="1284730608">
    <w:abstractNumId w:val="16"/>
  </w:num>
  <w:num w:numId="25" w16cid:durableId="1058557198">
    <w:abstractNumId w:val="20"/>
  </w:num>
  <w:num w:numId="26" w16cid:durableId="340426069">
    <w:abstractNumId w:val="21"/>
  </w:num>
  <w:num w:numId="27" w16cid:durableId="2042125961">
    <w:abstractNumId w:val="27"/>
  </w:num>
  <w:num w:numId="28" w16cid:durableId="202448005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1A1D"/>
    <w:rsid w:val="00000081"/>
    <w:rsid w:val="00003922"/>
    <w:rsid w:val="0000427C"/>
    <w:rsid w:val="0001328A"/>
    <w:rsid w:val="00014026"/>
    <w:rsid w:val="000143EE"/>
    <w:rsid w:val="000150CF"/>
    <w:rsid w:val="000151A4"/>
    <w:rsid w:val="00025CF6"/>
    <w:rsid w:val="000319CA"/>
    <w:rsid w:val="000348B0"/>
    <w:rsid w:val="00034DB5"/>
    <w:rsid w:val="000354E9"/>
    <w:rsid w:val="0003701F"/>
    <w:rsid w:val="00044CFC"/>
    <w:rsid w:val="000464FC"/>
    <w:rsid w:val="0004794F"/>
    <w:rsid w:val="0005618E"/>
    <w:rsid w:val="00056ADB"/>
    <w:rsid w:val="0006010A"/>
    <w:rsid w:val="000609D3"/>
    <w:rsid w:val="000634F2"/>
    <w:rsid w:val="000635FA"/>
    <w:rsid w:val="00066EB1"/>
    <w:rsid w:val="00072AD7"/>
    <w:rsid w:val="00075EFB"/>
    <w:rsid w:val="00077032"/>
    <w:rsid w:val="00080CD2"/>
    <w:rsid w:val="00083175"/>
    <w:rsid w:val="000850ED"/>
    <w:rsid w:val="00085614"/>
    <w:rsid w:val="00087E83"/>
    <w:rsid w:val="00090A80"/>
    <w:rsid w:val="00093411"/>
    <w:rsid w:val="00095487"/>
    <w:rsid w:val="000A0C60"/>
    <w:rsid w:val="000A3E1B"/>
    <w:rsid w:val="000A42CB"/>
    <w:rsid w:val="000A594A"/>
    <w:rsid w:val="000A62E6"/>
    <w:rsid w:val="000B2D45"/>
    <w:rsid w:val="000B6130"/>
    <w:rsid w:val="000B7B17"/>
    <w:rsid w:val="000C23BF"/>
    <w:rsid w:val="000C2837"/>
    <w:rsid w:val="000D38B9"/>
    <w:rsid w:val="000D3E45"/>
    <w:rsid w:val="000D6CE0"/>
    <w:rsid w:val="000E298F"/>
    <w:rsid w:val="000E3F37"/>
    <w:rsid w:val="000E44F9"/>
    <w:rsid w:val="00102A13"/>
    <w:rsid w:val="00103B33"/>
    <w:rsid w:val="00103F78"/>
    <w:rsid w:val="00104494"/>
    <w:rsid w:val="001066A5"/>
    <w:rsid w:val="0011132B"/>
    <w:rsid w:val="00112AE8"/>
    <w:rsid w:val="00112CA4"/>
    <w:rsid w:val="00113484"/>
    <w:rsid w:val="0011443A"/>
    <w:rsid w:val="001172A9"/>
    <w:rsid w:val="0012371B"/>
    <w:rsid w:val="00126477"/>
    <w:rsid w:val="0012746E"/>
    <w:rsid w:val="001274C0"/>
    <w:rsid w:val="00135308"/>
    <w:rsid w:val="00135989"/>
    <w:rsid w:val="001403CF"/>
    <w:rsid w:val="0014136B"/>
    <w:rsid w:val="00142DA9"/>
    <w:rsid w:val="001449E4"/>
    <w:rsid w:val="0015379F"/>
    <w:rsid w:val="00153C3B"/>
    <w:rsid w:val="00154BA5"/>
    <w:rsid w:val="0016230F"/>
    <w:rsid w:val="001633CD"/>
    <w:rsid w:val="00163FAC"/>
    <w:rsid w:val="001678C0"/>
    <w:rsid w:val="00173156"/>
    <w:rsid w:val="001731E9"/>
    <w:rsid w:val="001735F1"/>
    <w:rsid w:val="00174A2A"/>
    <w:rsid w:val="00182A23"/>
    <w:rsid w:val="001837CB"/>
    <w:rsid w:val="0018725E"/>
    <w:rsid w:val="0019138C"/>
    <w:rsid w:val="00196DFD"/>
    <w:rsid w:val="001A14F4"/>
    <w:rsid w:val="001A1856"/>
    <w:rsid w:val="001A2044"/>
    <w:rsid w:val="001A504E"/>
    <w:rsid w:val="001B20AD"/>
    <w:rsid w:val="001B21DC"/>
    <w:rsid w:val="001B261A"/>
    <w:rsid w:val="001C1879"/>
    <w:rsid w:val="001D0726"/>
    <w:rsid w:val="001D176E"/>
    <w:rsid w:val="001D2707"/>
    <w:rsid w:val="001D5B45"/>
    <w:rsid w:val="001D69E6"/>
    <w:rsid w:val="001E1014"/>
    <w:rsid w:val="001E635F"/>
    <w:rsid w:val="001F666C"/>
    <w:rsid w:val="001F7FE9"/>
    <w:rsid w:val="00202044"/>
    <w:rsid w:val="00203440"/>
    <w:rsid w:val="00210E42"/>
    <w:rsid w:val="00216BCA"/>
    <w:rsid w:val="00217A96"/>
    <w:rsid w:val="00223637"/>
    <w:rsid w:val="0022384B"/>
    <w:rsid w:val="00226C64"/>
    <w:rsid w:val="00236795"/>
    <w:rsid w:val="00236ECC"/>
    <w:rsid w:val="00241660"/>
    <w:rsid w:val="00245CB2"/>
    <w:rsid w:val="00246092"/>
    <w:rsid w:val="002461C3"/>
    <w:rsid w:val="00246D7F"/>
    <w:rsid w:val="00251427"/>
    <w:rsid w:val="00262C5C"/>
    <w:rsid w:val="00270142"/>
    <w:rsid w:val="00272079"/>
    <w:rsid w:val="00273875"/>
    <w:rsid w:val="0027440D"/>
    <w:rsid w:val="00274C2F"/>
    <w:rsid w:val="00275DBD"/>
    <w:rsid w:val="00276443"/>
    <w:rsid w:val="00276AE8"/>
    <w:rsid w:val="00276CA0"/>
    <w:rsid w:val="00282A53"/>
    <w:rsid w:val="002840F2"/>
    <w:rsid w:val="00285E03"/>
    <w:rsid w:val="002879B1"/>
    <w:rsid w:val="00292B55"/>
    <w:rsid w:val="00293C0D"/>
    <w:rsid w:val="00296C4F"/>
    <w:rsid w:val="002A09C9"/>
    <w:rsid w:val="002A23BB"/>
    <w:rsid w:val="002B0D92"/>
    <w:rsid w:val="002B3222"/>
    <w:rsid w:val="002B3A98"/>
    <w:rsid w:val="002B4225"/>
    <w:rsid w:val="002C0FAB"/>
    <w:rsid w:val="002C3DFC"/>
    <w:rsid w:val="002C4C44"/>
    <w:rsid w:val="002C792A"/>
    <w:rsid w:val="002D7DB6"/>
    <w:rsid w:val="002E17D6"/>
    <w:rsid w:val="002E299A"/>
    <w:rsid w:val="002E4B2C"/>
    <w:rsid w:val="002E5C20"/>
    <w:rsid w:val="002E6005"/>
    <w:rsid w:val="002E637B"/>
    <w:rsid w:val="002F1437"/>
    <w:rsid w:val="002F4EC3"/>
    <w:rsid w:val="002F6B1F"/>
    <w:rsid w:val="00311592"/>
    <w:rsid w:val="003116AE"/>
    <w:rsid w:val="00315A91"/>
    <w:rsid w:val="00316778"/>
    <w:rsid w:val="003167D3"/>
    <w:rsid w:val="00317563"/>
    <w:rsid w:val="00320D9F"/>
    <w:rsid w:val="00323877"/>
    <w:rsid w:val="0032717D"/>
    <w:rsid w:val="00330542"/>
    <w:rsid w:val="00331291"/>
    <w:rsid w:val="00332C99"/>
    <w:rsid w:val="003349E5"/>
    <w:rsid w:val="00337DE4"/>
    <w:rsid w:val="00337E3B"/>
    <w:rsid w:val="00344449"/>
    <w:rsid w:val="00344A1C"/>
    <w:rsid w:val="00346250"/>
    <w:rsid w:val="0034751C"/>
    <w:rsid w:val="0035251B"/>
    <w:rsid w:val="00354178"/>
    <w:rsid w:val="003568E1"/>
    <w:rsid w:val="003635DD"/>
    <w:rsid w:val="0036639E"/>
    <w:rsid w:val="0036784F"/>
    <w:rsid w:val="00370C02"/>
    <w:rsid w:val="0037270B"/>
    <w:rsid w:val="003727C2"/>
    <w:rsid w:val="00372BF4"/>
    <w:rsid w:val="00373EB2"/>
    <w:rsid w:val="00373F76"/>
    <w:rsid w:val="00374E16"/>
    <w:rsid w:val="00380C5B"/>
    <w:rsid w:val="0038299E"/>
    <w:rsid w:val="00383F28"/>
    <w:rsid w:val="0038630C"/>
    <w:rsid w:val="0039058A"/>
    <w:rsid w:val="00390636"/>
    <w:rsid w:val="00392A81"/>
    <w:rsid w:val="00394345"/>
    <w:rsid w:val="00396CB3"/>
    <w:rsid w:val="003A4C40"/>
    <w:rsid w:val="003A4D6E"/>
    <w:rsid w:val="003A59A1"/>
    <w:rsid w:val="003A6366"/>
    <w:rsid w:val="003A7C61"/>
    <w:rsid w:val="003B2D2E"/>
    <w:rsid w:val="003B3248"/>
    <w:rsid w:val="003B3C23"/>
    <w:rsid w:val="003B5476"/>
    <w:rsid w:val="003B74AC"/>
    <w:rsid w:val="003C1A7E"/>
    <w:rsid w:val="003C2FDB"/>
    <w:rsid w:val="003C7E1D"/>
    <w:rsid w:val="003D0579"/>
    <w:rsid w:val="003D0DC0"/>
    <w:rsid w:val="003D1D7A"/>
    <w:rsid w:val="003D6071"/>
    <w:rsid w:val="003E0966"/>
    <w:rsid w:val="003E5BAD"/>
    <w:rsid w:val="003F42E9"/>
    <w:rsid w:val="003F4DB6"/>
    <w:rsid w:val="0040244D"/>
    <w:rsid w:val="00402C5F"/>
    <w:rsid w:val="00404CF2"/>
    <w:rsid w:val="004054E6"/>
    <w:rsid w:val="00405708"/>
    <w:rsid w:val="00406716"/>
    <w:rsid w:val="00410B69"/>
    <w:rsid w:val="00410BCE"/>
    <w:rsid w:val="0041247F"/>
    <w:rsid w:val="00413067"/>
    <w:rsid w:val="00413079"/>
    <w:rsid w:val="00415224"/>
    <w:rsid w:val="0042094C"/>
    <w:rsid w:val="00420E52"/>
    <w:rsid w:val="00421CCC"/>
    <w:rsid w:val="004220A3"/>
    <w:rsid w:val="00425334"/>
    <w:rsid w:val="004278B4"/>
    <w:rsid w:val="004307B6"/>
    <w:rsid w:val="004311A6"/>
    <w:rsid w:val="0043735F"/>
    <w:rsid w:val="004408EA"/>
    <w:rsid w:val="00442466"/>
    <w:rsid w:val="00442875"/>
    <w:rsid w:val="00447B5F"/>
    <w:rsid w:val="0045167E"/>
    <w:rsid w:val="00451925"/>
    <w:rsid w:val="00452158"/>
    <w:rsid w:val="004573EF"/>
    <w:rsid w:val="00463183"/>
    <w:rsid w:val="0046707D"/>
    <w:rsid w:val="00467F10"/>
    <w:rsid w:val="0047146F"/>
    <w:rsid w:val="004749E0"/>
    <w:rsid w:val="004752EC"/>
    <w:rsid w:val="00475B15"/>
    <w:rsid w:val="0047641C"/>
    <w:rsid w:val="00480B7B"/>
    <w:rsid w:val="004832EF"/>
    <w:rsid w:val="00485165"/>
    <w:rsid w:val="00486A62"/>
    <w:rsid w:val="004915E8"/>
    <w:rsid w:val="004916B1"/>
    <w:rsid w:val="00496017"/>
    <w:rsid w:val="004A2184"/>
    <w:rsid w:val="004A2FE9"/>
    <w:rsid w:val="004A37AF"/>
    <w:rsid w:val="004A5FE6"/>
    <w:rsid w:val="004B1BCB"/>
    <w:rsid w:val="004B3F0A"/>
    <w:rsid w:val="004B4A1A"/>
    <w:rsid w:val="004C3509"/>
    <w:rsid w:val="004C3C82"/>
    <w:rsid w:val="004C7603"/>
    <w:rsid w:val="004D43F0"/>
    <w:rsid w:val="004D707A"/>
    <w:rsid w:val="004D7604"/>
    <w:rsid w:val="004E2258"/>
    <w:rsid w:val="004E24FE"/>
    <w:rsid w:val="004E2E34"/>
    <w:rsid w:val="004F11A2"/>
    <w:rsid w:val="004F33E2"/>
    <w:rsid w:val="004F3A77"/>
    <w:rsid w:val="004F7614"/>
    <w:rsid w:val="005019BA"/>
    <w:rsid w:val="0050269F"/>
    <w:rsid w:val="005046F1"/>
    <w:rsid w:val="00507584"/>
    <w:rsid w:val="00507BA2"/>
    <w:rsid w:val="00510C64"/>
    <w:rsid w:val="0052152D"/>
    <w:rsid w:val="0052359B"/>
    <w:rsid w:val="00523E31"/>
    <w:rsid w:val="0052628E"/>
    <w:rsid w:val="00526D13"/>
    <w:rsid w:val="00531A62"/>
    <w:rsid w:val="005329FE"/>
    <w:rsid w:val="00532D69"/>
    <w:rsid w:val="00546669"/>
    <w:rsid w:val="00546D55"/>
    <w:rsid w:val="00560827"/>
    <w:rsid w:val="005615EB"/>
    <w:rsid w:val="00561D2B"/>
    <w:rsid w:val="005630C3"/>
    <w:rsid w:val="005630CB"/>
    <w:rsid w:val="00564A68"/>
    <w:rsid w:val="00567048"/>
    <w:rsid w:val="00567085"/>
    <w:rsid w:val="0056731D"/>
    <w:rsid w:val="00573F9A"/>
    <w:rsid w:val="005744A0"/>
    <w:rsid w:val="00575645"/>
    <w:rsid w:val="00576B01"/>
    <w:rsid w:val="005855B6"/>
    <w:rsid w:val="005876F3"/>
    <w:rsid w:val="00591155"/>
    <w:rsid w:val="00591D66"/>
    <w:rsid w:val="00591E34"/>
    <w:rsid w:val="00592FEB"/>
    <w:rsid w:val="00594A99"/>
    <w:rsid w:val="00596C3B"/>
    <w:rsid w:val="005A00D6"/>
    <w:rsid w:val="005A0BFD"/>
    <w:rsid w:val="005A53F7"/>
    <w:rsid w:val="005B514D"/>
    <w:rsid w:val="005C38D9"/>
    <w:rsid w:val="005C43DC"/>
    <w:rsid w:val="005C563B"/>
    <w:rsid w:val="005C6B5B"/>
    <w:rsid w:val="005C7468"/>
    <w:rsid w:val="005D4DF8"/>
    <w:rsid w:val="005D7641"/>
    <w:rsid w:val="005E0541"/>
    <w:rsid w:val="005E3A0C"/>
    <w:rsid w:val="005E457D"/>
    <w:rsid w:val="005E5542"/>
    <w:rsid w:val="005F088C"/>
    <w:rsid w:val="005F1566"/>
    <w:rsid w:val="005F4292"/>
    <w:rsid w:val="005F573F"/>
    <w:rsid w:val="005F79AD"/>
    <w:rsid w:val="006055A1"/>
    <w:rsid w:val="0060565A"/>
    <w:rsid w:val="0061070A"/>
    <w:rsid w:val="00610D21"/>
    <w:rsid w:val="00610E50"/>
    <w:rsid w:val="00611F73"/>
    <w:rsid w:val="006146F8"/>
    <w:rsid w:val="00615BEA"/>
    <w:rsid w:val="00615EE6"/>
    <w:rsid w:val="00617B12"/>
    <w:rsid w:val="006205B5"/>
    <w:rsid w:val="00620FB2"/>
    <w:rsid w:val="006215CB"/>
    <w:rsid w:val="006218CA"/>
    <w:rsid w:val="00632B66"/>
    <w:rsid w:val="006346A7"/>
    <w:rsid w:val="00635545"/>
    <w:rsid w:val="00640BB1"/>
    <w:rsid w:val="006452CD"/>
    <w:rsid w:val="006510F1"/>
    <w:rsid w:val="00656886"/>
    <w:rsid w:val="00661B69"/>
    <w:rsid w:val="006732CC"/>
    <w:rsid w:val="0067693F"/>
    <w:rsid w:val="006778DF"/>
    <w:rsid w:val="00677D2F"/>
    <w:rsid w:val="00681A77"/>
    <w:rsid w:val="006847F4"/>
    <w:rsid w:val="006921D6"/>
    <w:rsid w:val="00693D73"/>
    <w:rsid w:val="00694848"/>
    <w:rsid w:val="00697AD2"/>
    <w:rsid w:val="006A082E"/>
    <w:rsid w:val="006B2ECF"/>
    <w:rsid w:val="006B3391"/>
    <w:rsid w:val="006B632F"/>
    <w:rsid w:val="006B758B"/>
    <w:rsid w:val="006C1A4F"/>
    <w:rsid w:val="006C1E6F"/>
    <w:rsid w:val="006C2A00"/>
    <w:rsid w:val="006C53F7"/>
    <w:rsid w:val="006C7936"/>
    <w:rsid w:val="006C796F"/>
    <w:rsid w:val="006D0F7F"/>
    <w:rsid w:val="006D361E"/>
    <w:rsid w:val="006D36C7"/>
    <w:rsid w:val="006D3C2B"/>
    <w:rsid w:val="006E1EE6"/>
    <w:rsid w:val="006E2B5A"/>
    <w:rsid w:val="006E2F41"/>
    <w:rsid w:val="006E5AF8"/>
    <w:rsid w:val="006E606A"/>
    <w:rsid w:val="006E6552"/>
    <w:rsid w:val="006E6D29"/>
    <w:rsid w:val="006F2219"/>
    <w:rsid w:val="006F4E21"/>
    <w:rsid w:val="006F60FB"/>
    <w:rsid w:val="007033DB"/>
    <w:rsid w:val="007037CD"/>
    <w:rsid w:val="00705BEA"/>
    <w:rsid w:val="00712A9D"/>
    <w:rsid w:val="007133C0"/>
    <w:rsid w:val="00713C4B"/>
    <w:rsid w:val="00721A74"/>
    <w:rsid w:val="00724801"/>
    <w:rsid w:val="00726DD6"/>
    <w:rsid w:val="00735455"/>
    <w:rsid w:val="007361B8"/>
    <w:rsid w:val="00744F7E"/>
    <w:rsid w:val="00745702"/>
    <w:rsid w:val="00750065"/>
    <w:rsid w:val="007517A0"/>
    <w:rsid w:val="00753939"/>
    <w:rsid w:val="007543BA"/>
    <w:rsid w:val="00755257"/>
    <w:rsid w:val="00755BA6"/>
    <w:rsid w:val="0076052A"/>
    <w:rsid w:val="00761F2B"/>
    <w:rsid w:val="007649C3"/>
    <w:rsid w:val="00770C21"/>
    <w:rsid w:val="00774650"/>
    <w:rsid w:val="00775717"/>
    <w:rsid w:val="00777C98"/>
    <w:rsid w:val="00780EC6"/>
    <w:rsid w:val="00780F70"/>
    <w:rsid w:val="0078542D"/>
    <w:rsid w:val="0078605A"/>
    <w:rsid w:val="0079128E"/>
    <w:rsid w:val="007A1708"/>
    <w:rsid w:val="007A4C4C"/>
    <w:rsid w:val="007A5262"/>
    <w:rsid w:val="007B240A"/>
    <w:rsid w:val="007B4BAC"/>
    <w:rsid w:val="007C3767"/>
    <w:rsid w:val="007C7A03"/>
    <w:rsid w:val="007D3E3E"/>
    <w:rsid w:val="007D4FD7"/>
    <w:rsid w:val="007D5679"/>
    <w:rsid w:val="007D6471"/>
    <w:rsid w:val="007E07F6"/>
    <w:rsid w:val="007E1F90"/>
    <w:rsid w:val="007E2ABC"/>
    <w:rsid w:val="007E5F58"/>
    <w:rsid w:val="007F4075"/>
    <w:rsid w:val="007F42B5"/>
    <w:rsid w:val="007F5338"/>
    <w:rsid w:val="008005ED"/>
    <w:rsid w:val="0080079B"/>
    <w:rsid w:val="00801B42"/>
    <w:rsid w:val="00805CE7"/>
    <w:rsid w:val="00806E65"/>
    <w:rsid w:val="008116C1"/>
    <w:rsid w:val="00812D70"/>
    <w:rsid w:val="00812F63"/>
    <w:rsid w:val="00813026"/>
    <w:rsid w:val="00821C0B"/>
    <w:rsid w:val="00822AFE"/>
    <w:rsid w:val="00824394"/>
    <w:rsid w:val="0082506E"/>
    <w:rsid w:val="00825B1E"/>
    <w:rsid w:val="00832317"/>
    <w:rsid w:val="008323BE"/>
    <w:rsid w:val="008325C7"/>
    <w:rsid w:val="008332CC"/>
    <w:rsid w:val="00833E64"/>
    <w:rsid w:val="00845486"/>
    <w:rsid w:val="00846D01"/>
    <w:rsid w:val="00851180"/>
    <w:rsid w:val="0085136E"/>
    <w:rsid w:val="008520B9"/>
    <w:rsid w:val="00852880"/>
    <w:rsid w:val="00852E56"/>
    <w:rsid w:val="00853E15"/>
    <w:rsid w:val="0085690D"/>
    <w:rsid w:val="0086045E"/>
    <w:rsid w:val="00864DBA"/>
    <w:rsid w:val="00865627"/>
    <w:rsid w:val="00870769"/>
    <w:rsid w:val="00871472"/>
    <w:rsid w:val="00871866"/>
    <w:rsid w:val="008718BC"/>
    <w:rsid w:val="008720C8"/>
    <w:rsid w:val="00876480"/>
    <w:rsid w:val="00886BCC"/>
    <w:rsid w:val="00887EF4"/>
    <w:rsid w:val="00895156"/>
    <w:rsid w:val="008966BE"/>
    <w:rsid w:val="008A0702"/>
    <w:rsid w:val="008A3EE9"/>
    <w:rsid w:val="008C2F44"/>
    <w:rsid w:val="008C5F45"/>
    <w:rsid w:val="008C64F1"/>
    <w:rsid w:val="008C6BCE"/>
    <w:rsid w:val="008C735D"/>
    <w:rsid w:val="008D401E"/>
    <w:rsid w:val="008D427E"/>
    <w:rsid w:val="008D7E49"/>
    <w:rsid w:val="008E3615"/>
    <w:rsid w:val="008E4E45"/>
    <w:rsid w:val="008E6608"/>
    <w:rsid w:val="008E771B"/>
    <w:rsid w:val="008F3C17"/>
    <w:rsid w:val="00901425"/>
    <w:rsid w:val="00901BB7"/>
    <w:rsid w:val="009042FF"/>
    <w:rsid w:val="009108B7"/>
    <w:rsid w:val="0091289C"/>
    <w:rsid w:val="00914C94"/>
    <w:rsid w:val="00914E4E"/>
    <w:rsid w:val="009232EF"/>
    <w:rsid w:val="00925C80"/>
    <w:rsid w:val="00926BC5"/>
    <w:rsid w:val="00927D28"/>
    <w:rsid w:val="00932A8A"/>
    <w:rsid w:val="00934FF7"/>
    <w:rsid w:val="00936349"/>
    <w:rsid w:val="0093795A"/>
    <w:rsid w:val="009401FC"/>
    <w:rsid w:val="009405D5"/>
    <w:rsid w:val="00940A56"/>
    <w:rsid w:val="009428F1"/>
    <w:rsid w:val="00942AF9"/>
    <w:rsid w:val="0094511C"/>
    <w:rsid w:val="00960927"/>
    <w:rsid w:val="00961A81"/>
    <w:rsid w:val="009679E4"/>
    <w:rsid w:val="00971656"/>
    <w:rsid w:val="009741CA"/>
    <w:rsid w:val="009764BF"/>
    <w:rsid w:val="00981CE0"/>
    <w:rsid w:val="00981F37"/>
    <w:rsid w:val="009824B5"/>
    <w:rsid w:val="009842A3"/>
    <w:rsid w:val="00985207"/>
    <w:rsid w:val="009852A0"/>
    <w:rsid w:val="0099263B"/>
    <w:rsid w:val="00992A20"/>
    <w:rsid w:val="00993B31"/>
    <w:rsid w:val="009A0D96"/>
    <w:rsid w:val="009A7221"/>
    <w:rsid w:val="009B3706"/>
    <w:rsid w:val="009B4731"/>
    <w:rsid w:val="009B620D"/>
    <w:rsid w:val="009B67FD"/>
    <w:rsid w:val="009C10CA"/>
    <w:rsid w:val="009C1A1D"/>
    <w:rsid w:val="009C3BE4"/>
    <w:rsid w:val="009C4984"/>
    <w:rsid w:val="009C4A6C"/>
    <w:rsid w:val="009C5DB9"/>
    <w:rsid w:val="009D0BAF"/>
    <w:rsid w:val="009D530E"/>
    <w:rsid w:val="009E1B24"/>
    <w:rsid w:val="009E3231"/>
    <w:rsid w:val="009E53D7"/>
    <w:rsid w:val="009F0601"/>
    <w:rsid w:val="009F4435"/>
    <w:rsid w:val="009F498C"/>
    <w:rsid w:val="009F5BF2"/>
    <w:rsid w:val="00A00C64"/>
    <w:rsid w:val="00A10310"/>
    <w:rsid w:val="00A10457"/>
    <w:rsid w:val="00A1091D"/>
    <w:rsid w:val="00A10F0D"/>
    <w:rsid w:val="00A11A71"/>
    <w:rsid w:val="00A122B3"/>
    <w:rsid w:val="00A124F2"/>
    <w:rsid w:val="00A12AC9"/>
    <w:rsid w:val="00A16323"/>
    <w:rsid w:val="00A172D6"/>
    <w:rsid w:val="00A21B46"/>
    <w:rsid w:val="00A21FA0"/>
    <w:rsid w:val="00A30FF4"/>
    <w:rsid w:val="00A346E0"/>
    <w:rsid w:val="00A351C8"/>
    <w:rsid w:val="00A369CF"/>
    <w:rsid w:val="00A40925"/>
    <w:rsid w:val="00A417B5"/>
    <w:rsid w:val="00A44E3A"/>
    <w:rsid w:val="00A4591D"/>
    <w:rsid w:val="00A5094B"/>
    <w:rsid w:val="00A531F5"/>
    <w:rsid w:val="00A53B86"/>
    <w:rsid w:val="00A544F2"/>
    <w:rsid w:val="00A55807"/>
    <w:rsid w:val="00A60D4C"/>
    <w:rsid w:val="00A62FFC"/>
    <w:rsid w:val="00A65C70"/>
    <w:rsid w:val="00A7298E"/>
    <w:rsid w:val="00A76826"/>
    <w:rsid w:val="00A77573"/>
    <w:rsid w:val="00A80E00"/>
    <w:rsid w:val="00A81938"/>
    <w:rsid w:val="00A842CB"/>
    <w:rsid w:val="00A8452A"/>
    <w:rsid w:val="00A846D8"/>
    <w:rsid w:val="00A86DFA"/>
    <w:rsid w:val="00AA05E9"/>
    <w:rsid w:val="00AA4434"/>
    <w:rsid w:val="00AA6795"/>
    <w:rsid w:val="00AB1999"/>
    <w:rsid w:val="00AB1CE0"/>
    <w:rsid w:val="00AB31AC"/>
    <w:rsid w:val="00AB49C9"/>
    <w:rsid w:val="00AC013A"/>
    <w:rsid w:val="00AC03F9"/>
    <w:rsid w:val="00AC1CE0"/>
    <w:rsid w:val="00AC343C"/>
    <w:rsid w:val="00AC5F27"/>
    <w:rsid w:val="00AD0446"/>
    <w:rsid w:val="00AD0A86"/>
    <w:rsid w:val="00AD5017"/>
    <w:rsid w:val="00AD7BB8"/>
    <w:rsid w:val="00AE31E4"/>
    <w:rsid w:val="00AE35A3"/>
    <w:rsid w:val="00AE3F04"/>
    <w:rsid w:val="00AE5057"/>
    <w:rsid w:val="00AF0FBB"/>
    <w:rsid w:val="00AF25CD"/>
    <w:rsid w:val="00B0111E"/>
    <w:rsid w:val="00B02619"/>
    <w:rsid w:val="00B05CFC"/>
    <w:rsid w:val="00B07B48"/>
    <w:rsid w:val="00B07E54"/>
    <w:rsid w:val="00B10379"/>
    <w:rsid w:val="00B1533D"/>
    <w:rsid w:val="00B24206"/>
    <w:rsid w:val="00B250F7"/>
    <w:rsid w:val="00B263AC"/>
    <w:rsid w:val="00B33574"/>
    <w:rsid w:val="00B358BA"/>
    <w:rsid w:val="00B36C78"/>
    <w:rsid w:val="00B41713"/>
    <w:rsid w:val="00B42606"/>
    <w:rsid w:val="00B43F5E"/>
    <w:rsid w:val="00B46443"/>
    <w:rsid w:val="00B50D93"/>
    <w:rsid w:val="00B50E48"/>
    <w:rsid w:val="00B51694"/>
    <w:rsid w:val="00B5573C"/>
    <w:rsid w:val="00B569FA"/>
    <w:rsid w:val="00B60162"/>
    <w:rsid w:val="00B6299A"/>
    <w:rsid w:val="00B63095"/>
    <w:rsid w:val="00B65611"/>
    <w:rsid w:val="00B66907"/>
    <w:rsid w:val="00B66ED8"/>
    <w:rsid w:val="00B7105D"/>
    <w:rsid w:val="00B7116E"/>
    <w:rsid w:val="00B71C86"/>
    <w:rsid w:val="00B74D7F"/>
    <w:rsid w:val="00B777C7"/>
    <w:rsid w:val="00B822BA"/>
    <w:rsid w:val="00B85C16"/>
    <w:rsid w:val="00B9164A"/>
    <w:rsid w:val="00B91BED"/>
    <w:rsid w:val="00B925E7"/>
    <w:rsid w:val="00B9284D"/>
    <w:rsid w:val="00B928CD"/>
    <w:rsid w:val="00B96620"/>
    <w:rsid w:val="00BA025E"/>
    <w:rsid w:val="00BA373E"/>
    <w:rsid w:val="00BA5227"/>
    <w:rsid w:val="00BB03DD"/>
    <w:rsid w:val="00BB155C"/>
    <w:rsid w:val="00BB2A33"/>
    <w:rsid w:val="00BB5C63"/>
    <w:rsid w:val="00BC082A"/>
    <w:rsid w:val="00BC146C"/>
    <w:rsid w:val="00BC365C"/>
    <w:rsid w:val="00BC74A2"/>
    <w:rsid w:val="00BD06D0"/>
    <w:rsid w:val="00BD3F82"/>
    <w:rsid w:val="00BD65D6"/>
    <w:rsid w:val="00BE5A5A"/>
    <w:rsid w:val="00BE73FC"/>
    <w:rsid w:val="00BF6A5E"/>
    <w:rsid w:val="00C0108B"/>
    <w:rsid w:val="00C0164E"/>
    <w:rsid w:val="00C02BB1"/>
    <w:rsid w:val="00C2078C"/>
    <w:rsid w:val="00C23684"/>
    <w:rsid w:val="00C2656F"/>
    <w:rsid w:val="00C31CD9"/>
    <w:rsid w:val="00C32061"/>
    <w:rsid w:val="00C33C24"/>
    <w:rsid w:val="00C3438B"/>
    <w:rsid w:val="00C3514E"/>
    <w:rsid w:val="00C438FD"/>
    <w:rsid w:val="00C47D7B"/>
    <w:rsid w:val="00C50562"/>
    <w:rsid w:val="00C50E48"/>
    <w:rsid w:val="00C54D15"/>
    <w:rsid w:val="00C5535E"/>
    <w:rsid w:val="00C56F5A"/>
    <w:rsid w:val="00C63B69"/>
    <w:rsid w:val="00C63B95"/>
    <w:rsid w:val="00C65207"/>
    <w:rsid w:val="00C66B60"/>
    <w:rsid w:val="00C67C10"/>
    <w:rsid w:val="00C75E10"/>
    <w:rsid w:val="00C80ABA"/>
    <w:rsid w:val="00C82D9E"/>
    <w:rsid w:val="00C840FA"/>
    <w:rsid w:val="00C84103"/>
    <w:rsid w:val="00C84E2E"/>
    <w:rsid w:val="00C90235"/>
    <w:rsid w:val="00C9252A"/>
    <w:rsid w:val="00C96D82"/>
    <w:rsid w:val="00C97327"/>
    <w:rsid w:val="00CA1406"/>
    <w:rsid w:val="00CA2B9F"/>
    <w:rsid w:val="00CA3170"/>
    <w:rsid w:val="00CA6EA0"/>
    <w:rsid w:val="00CB1711"/>
    <w:rsid w:val="00CB3B9C"/>
    <w:rsid w:val="00CB46E2"/>
    <w:rsid w:val="00CB57D7"/>
    <w:rsid w:val="00CB7B08"/>
    <w:rsid w:val="00CC41BF"/>
    <w:rsid w:val="00CD03DA"/>
    <w:rsid w:val="00CD155A"/>
    <w:rsid w:val="00CD4E6E"/>
    <w:rsid w:val="00CD6939"/>
    <w:rsid w:val="00CE4985"/>
    <w:rsid w:val="00CE59C1"/>
    <w:rsid w:val="00CE78C6"/>
    <w:rsid w:val="00CF0695"/>
    <w:rsid w:val="00CF0D0C"/>
    <w:rsid w:val="00CF1083"/>
    <w:rsid w:val="00CF35DB"/>
    <w:rsid w:val="00CF5851"/>
    <w:rsid w:val="00CF75BE"/>
    <w:rsid w:val="00D0380E"/>
    <w:rsid w:val="00D040DE"/>
    <w:rsid w:val="00D04ACE"/>
    <w:rsid w:val="00D11EBB"/>
    <w:rsid w:val="00D138B0"/>
    <w:rsid w:val="00D140C8"/>
    <w:rsid w:val="00D1742E"/>
    <w:rsid w:val="00D1783E"/>
    <w:rsid w:val="00D23E19"/>
    <w:rsid w:val="00D24599"/>
    <w:rsid w:val="00D27EB3"/>
    <w:rsid w:val="00D31468"/>
    <w:rsid w:val="00D3247B"/>
    <w:rsid w:val="00D32BB5"/>
    <w:rsid w:val="00D35F17"/>
    <w:rsid w:val="00D37CEF"/>
    <w:rsid w:val="00D4168F"/>
    <w:rsid w:val="00D41D88"/>
    <w:rsid w:val="00D465CC"/>
    <w:rsid w:val="00D516C8"/>
    <w:rsid w:val="00D53E06"/>
    <w:rsid w:val="00D61600"/>
    <w:rsid w:val="00D62D73"/>
    <w:rsid w:val="00D67A55"/>
    <w:rsid w:val="00D720F9"/>
    <w:rsid w:val="00D75009"/>
    <w:rsid w:val="00D766BC"/>
    <w:rsid w:val="00D76C81"/>
    <w:rsid w:val="00D77E7A"/>
    <w:rsid w:val="00D854D7"/>
    <w:rsid w:val="00D86579"/>
    <w:rsid w:val="00D86BD1"/>
    <w:rsid w:val="00D90FD6"/>
    <w:rsid w:val="00D940C8"/>
    <w:rsid w:val="00D946CE"/>
    <w:rsid w:val="00D95CD0"/>
    <w:rsid w:val="00D96AD0"/>
    <w:rsid w:val="00D9738B"/>
    <w:rsid w:val="00DA3C73"/>
    <w:rsid w:val="00DA4FB1"/>
    <w:rsid w:val="00DA5562"/>
    <w:rsid w:val="00DA598D"/>
    <w:rsid w:val="00DA7042"/>
    <w:rsid w:val="00DB2D8B"/>
    <w:rsid w:val="00DB387D"/>
    <w:rsid w:val="00DB54B8"/>
    <w:rsid w:val="00DC037A"/>
    <w:rsid w:val="00DC7487"/>
    <w:rsid w:val="00DD0D46"/>
    <w:rsid w:val="00DD3E5A"/>
    <w:rsid w:val="00DE391A"/>
    <w:rsid w:val="00DE4284"/>
    <w:rsid w:val="00DE7DBA"/>
    <w:rsid w:val="00DF4EB4"/>
    <w:rsid w:val="00DF61CC"/>
    <w:rsid w:val="00DF7F64"/>
    <w:rsid w:val="00E032EB"/>
    <w:rsid w:val="00E050EF"/>
    <w:rsid w:val="00E07FA1"/>
    <w:rsid w:val="00E10776"/>
    <w:rsid w:val="00E113B3"/>
    <w:rsid w:val="00E12C96"/>
    <w:rsid w:val="00E1351B"/>
    <w:rsid w:val="00E179C2"/>
    <w:rsid w:val="00E21A8E"/>
    <w:rsid w:val="00E2320F"/>
    <w:rsid w:val="00E238AF"/>
    <w:rsid w:val="00E26BC6"/>
    <w:rsid w:val="00E306FF"/>
    <w:rsid w:val="00E31A7E"/>
    <w:rsid w:val="00E31C20"/>
    <w:rsid w:val="00E333BA"/>
    <w:rsid w:val="00E340AF"/>
    <w:rsid w:val="00E35DA7"/>
    <w:rsid w:val="00E40279"/>
    <w:rsid w:val="00E407B1"/>
    <w:rsid w:val="00E40D7C"/>
    <w:rsid w:val="00E446DD"/>
    <w:rsid w:val="00E4694B"/>
    <w:rsid w:val="00E476E3"/>
    <w:rsid w:val="00E50E1F"/>
    <w:rsid w:val="00E53506"/>
    <w:rsid w:val="00E564E3"/>
    <w:rsid w:val="00E566B8"/>
    <w:rsid w:val="00E57EB9"/>
    <w:rsid w:val="00E60024"/>
    <w:rsid w:val="00E632BF"/>
    <w:rsid w:val="00E6503B"/>
    <w:rsid w:val="00E6541B"/>
    <w:rsid w:val="00E65B61"/>
    <w:rsid w:val="00E677C3"/>
    <w:rsid w:val="00E72874"/>
    <w:rsid w:val="00E7337F"/>
    <w:rsid w:val="00E76C6F"/>
    <w:rsid w:val="00E81698"/>
    <w:rsid w:val="00E865B2"/>
    <w:rsid w:val="00E90E50"/>
    <w:rsid w:val="00E924D5"/>
    <w:rsid w:val="00E95564"/>
    <w:rsid w:val="00E967CC"/>
    <w:rsid w:val="00EA02FE"/>
    <w:rsid w:val="00EC10E4"/>
    <w:rsid w:val="00EC13C6"/>
    <w:rsid w:val="00EC2E9C"/>
    <w:rsid w:val="00ED10E1"/>
    <w:rsid w:val="00ED2E3F"/>
    <w:rsid w:val="00ED3657"/>
    <w:rsid w:val="00ED579B"/>
    <w:rsid w:val="00ED7738"/>
    <w:rsid w:val="00EE3100"/>
    <w:rsid w:val="00EE36E3"/>
    <w:rsid w:val="00EE6B1A"/>
    <w:rsid w:val="00EF0C32"/>
    <w:rsid w:val="00EF1DB6"/>
    <w:rsid w:val="00EF204A"/>
    <w:rsid w:val="00EF2B1F"/>
    <w:rsid w:val="00F01CD5"/>
    <w:rsid w:val="00F03B80"/>
    <w:rsid w:val="00F040B6"/>
    <w:rsid w:val="00F04104"/>
    <w:rsid w:val="00F0797E"/>
    <w:rsid w:val="00F116D7"/>
    <w:rsid w:val="00F12345"/>
    <w:rsid w:val="00F16004"/>
    <w:rsid w:val="00F201F6"/>
    <w:rsid w:val="00F2620A"/>
    <w:rsid w:val="00F32BAA"/>
    <w:rsid w:val="00F32F4B"/>
    <w:rsid w:val="00F35E8E"/>
    <w:rsid w:val="00F4059D"/>
    <w:rsid w:val="00F4235C"/>
    <w:rsid w:val="00F42709"/>
    <w:rsid w:val="00F43119"/>
    <w:rsid w:val="00F4631B"/>
    <w:rsid w:val="00F4709D"/>
    <w:rsid w:val="00F57B04"/>
    <w:rsid w:val="00F63E02"/>
    <w:rsid w:val="00F64D88"/>
    <w:rsid w:val="00F70823"/>
    <w:rsid w:val="00F74149"/>
    <w:rsid w:val="00F81BC2"/>
    <w:rsid w:val="00F82F5A"/>
    <w:rsid w:val="00F84AA4"/>
    <w:rsid w:val="00F9430C"/>
    <w:rsid w:val="00F95D93"/>
    <w:rsid w:val="00F97377"/>
    <w:rsid w:val="00F97DB4"/>
    <w:rsid w:val="00FA06B6"/>
    <w:rsid w:val="00FA7E1C"/>
    <w:rsid w:val="00FB39B2"/>
    <w:rsid w:val="00FB6164"/>
    <w:rsid w:val="00FC1535"/>
    <w:rsid w:val="00FC327A"/>
    <w:rsid w:val="00FC4097"/>
    <w:rsid w:val="00FC690C"/>
    <w:rsid w:val="00FC692B"/>
    <w:rsid w:val="00FC6AF1"/>
    <w:rsid w:val="00FC7D0F"/>
    <w:rsid w:val="00FE14D9"/>
    <w:rsid w:val="00FE3D16"/>
    <w:rsid w:val="00FE7409"/>
    <w:rsid w:val="00FF1F2C"/>
    <w:rsid w:val="00FF51E5"/>
    <w:rsid w:val="00FF75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D8E352"/>
  <w15:docId w15:val="{E73EE5DB-557B-0341-86D7-700848B26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2707"/>
    <w:pPr>
      <w:spacing w:line="240" w:lineRule="auto"/>
    </w:pPr>
    <w:rPr>
      <w:rFonts w:ascii="Times New Roman" w:eastAsia="Times New Roman" w:hAnsi="Times New Roman" w:cs="Times New Roman"/>
      <w:sz w:val="24"/>
      <w:szCs w:val="24"/>
    </w:rPr>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link w:val="Heading2Char"/>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NormalWeb">
    <w:name w:val="Normal (Web)"/>
    <w:basedOn w:val="Normal"/>
    <w:uiPriority w:val="99"/>
    <w:unhideWhenUsed/>
    <w:rsid w:val="00507584"/>
    <w:pPr>
      <w:spacing w:before="100" w:beforeAutospacing="1" w:after="100" w:afterAutospacing="1"/>
    </w:pPr>
  </w:style>
  <w:style w:type="character" w:styleId="CommentReference">
    <w:name w:val="annotation reference"/>
    <w:basedOn w:val="DefaultParagraphFont"/>
    <w:uiPriority w:val="99"/>
    <w:semiHidden/>
    <w:unhideWhenUsed/>
    <w:rsid w:val="00775717"/>
    <w:rPr>
      <w:sz w:val="16"/>
      <w:szCs w:val="16"/>
    </w:rPr>
  </w:style>
  <w:style w:type="paragraph" w:styleId="CommentText">
    <w:name w:val="annotation text"/>
    <w:basedOn w:val="Normal"/>
    <w:link w:val="CommentTextChar"/>
    <w:uiPriority w:val="99"/>
    <w:semiHidden/>
    <w:unhideWhenUsed/>
    <w:rsid w:val="00775717"/>
    <w:rPr>
      <w:sz w:val="20"/>
      <w:szCs w:val="20"/>
    </w:rPr>
  </w:style>
  <w:style w:type="character" w:customStyle="1" w:styleId="CommentTextChar">
    <w:name w:val="Comment Text Char"/>
    <w:basedOn w:val="DefaultParagraphFont"/>
    <w:link w:val="CommentText"/>
    <w:uiPriority w:val="99"/>
    <w:semiHidden/>
    <w:rsid w:val="00775717"/>
    <w:rPr>
      <w:sz w:val="20"/>
      <w:szCs w:val="20"/>
    </w:rPr>
  </w:style>
  <w:style w:type="paragraph" w:styleId="CommentSubject">
    <w:name w:val="annotation subject"/>
    <w:basedOn w:val="CommentText"/>
    <w:next w:val="CommentText"/>
    <w:link w:val="CommentSubjectChar"/>
    <w:uiPriority w:val="99"/>
    <w:semiHidden/>
    <w:unhideWhenUsed/>
    <w:rsid w:val="00775717"/>
    <w:rPr>
      <w:b/>
      <w:bCs/>
    </w:rPr>
  </w:style>
  <w:style w:type="character" w:customStyle="1" w:styleId="CommentSubjectChar">
    <w:name w:val="Comment Subject Char"/>
    <w:basedOn w:val="CommentTextChar"/>
    <w:link w:val="CommentSubject"/>
    <w:uiPriority w:val="99"/>
    <w:semiHidden/>
    <w:rsid w:val="00775717"/>
    <w:rPr>
      <w:b/>
      <w:bCs/>
      <w:sz w:val="20"/>
      <w:szCs w:val="20"/>
    </w:rPr>
  </w:style>
  <w:style w:type="character" w:styleId="Hyperlink">
    <w:name w:val="Hyperlink"/>
    <w:basedOn w:val="DefaultParagraphFont"/>
    <w:uiPriority w:val="99"/>
    <w:unhideWhenUsed/>
    <w:rsid w:val="00775717"/>
    <w:rPr>
      <w:color w:val="0000FF" w:themeColor="hyperlink"/>
      <w:u w:val="single"/>
    </w:rPr>
  </w:style>
  <w:style w:type="character" w:styleId="UnresolvedMention">
    <w:name w:val="Unresolved Mention"/>
    <w:basedOn w:val="DefaultParagraphFont"/>
    <w:uiPriority w:val="99"/>
    <w:semiHidden/>
    <w:unhideWhenUsed/>
    <w:rsid w:val="00775717"/>
    <w:rPr>
      <w:color w:val="605E5C"/>
      <w:shd w:val="clear" w:color="auto" w:fill="E1DFDD"/>
    </w:rPr>
  </w:style>
  <w:style w:type="paragraph" w:styleId="ListParagraph">
    <w:name w:val="List Paragraph"/>
    <w:basedOn w:val="Normal"/>
    <w:uiPriority w:val="34"/>
    <w:qFormat/>
    <w:rsid w:val="004B3F0A"/>
    <w:pPr>
      <w:ind w:left="720"/>
      <w:contextualSpacing/>
    </w:pPr>
  </w:style>
  <w:style w:type="character" w:customStyle="1" w:styleId="Heading2Char">
    <w:name w:val="Heading 2 Char"/>
    <w:basedOn w:val="DefaultParagraphFont"/>
    <w:link w:val="Heading2"/>
    <w:uiPriority w:val="9"/>
    <w:rsid w:val="003A4D6E"/>
    <w:rPr>
      <w:sz w:val="32"/>
      <w:szCs w:val="32"/>
    </w:rPr>
  </w:style>
  <w:style w:type="character" w:customStyle="1" w:styleId="apple-converted-space">
    <w:name w:val="apple-converted-space"/>
    <w:basedOn w:val="DefaultParagraphFont"/>
    <w:rsid w:val="003A4D6E"/>
  </w:style>
  <w:style w:type="character" w:styleId="Strong">
    <w:name w:val="Strong"/>
    <w:basedOn w:val="DefaultParagraphFont"/>
    <w:uiPriority w:val="22"/>
    <w:qFormat/>
    <w:rsid w:val="00A346E0"/>
    <w:rPr>
      <w:b/>
      <w:bCs/>
    </w:rPr>
  </w:style>
  <w:style w:type="paragraph" w:styleId="Header">
    <w:name w:val="header"/>
    <w:basedOn w:val="Normal"/>
    <w:link w:val="HeaderChar"/>
    <w:uiPriority w:val="99"/>
    <w:unhideWhenUsed/>
    <w:rsid w:val="00DA4FB1"/>
    <w:pPr>
      <w:tabs>
        <w:tab w:val="center" w:pos="4513"/>
        <w:tab w:val="right" w:pos="9026"/>
      </w:tabs>
    </w:pPr>
  </w:style>
  <w:style w:type="character" w:customStyle="1" w:styleId="HeaderChar">
    <w:name w:val="Header Char"/>
    <w:basedOn w:val="DefaultParagraphFont"/>
    <w:link w:val="Header"/>
    <w:uiPriority w:val="99"/>
    <w:rsid w:val="00DA4FB1"/>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DA4FB1"/>
    <w:pPr>
      <w:tabs>
        <w:tab w:val="center" w:pos="4513"/>
        <w:tab w:val="right" w:pos="9026"/>
      </w:tabs>
    </w:pPr>
  </w:style>
  <w:style w:type="character" w:customStyle="1" w:styleId="FooterChar">
    <w:name w:val="Footer Char"/>
    <w:basedOn w:val="DefaultParagraphFont"/>
    <w:link w:val="Footer"/>
    <w:uiPriority w:val="99"/>
    <w:rsid w:val="00DA4FB1"/>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394345"/>
    <w:rPr>
      <w:color w:val="800080" w:themeColor="followedHyperlink"/>
      <w:u w:val="single"/>
    </w:rPr>
  </w:style>
  <w:style w:type="paragraph" w:styleId="NoSpacing">
    <w:name w:val="No Spacing"/>
    <w:uiPriority w:val="1"/>
    <w:qFormat/>
    <w:rsid w:val="00CB1711"/>
    <w:pPr>
      <w:spacing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3050910">
      <w:bodyDiv w:val="1"/>
      <w:marLeft w:val="0"/>
      <w:marRight w:val="0"/>
      <w:marTop w:val="0"/>
      <w:marBottom w:val="0"/>
      <w:divBdr>
        <w:top w:val="none" w:sz="0" w:space="0" w:color="auto"/>
        <w:left w:val="none" w:sz="0" w:space="0" w:color="auto"/>
        <w:bottom w:val="none" w:sz="0" w:space="0" w:color="auto"/>
        <w:right w:val="none" w:sz="0" w:space="0" w:color="auto"/>
      </w:divBdr>
    </w:div>
    <w:div w:id="111440152">
      <w:bodyDiv w:val="1"/>
      <w:marLeft w:val="0"/>
      <w:marRight w:val="0"/>
      <w:marTop w:val="0"/>
      <w:marBottom w:val="0"/>
      <w:divBdr>
        <w:top w:val="none" w:sz="0" w:space="0" w:color="auto"/>
        <w:left w:val="none" w:sz="0" w:space="0" w:color="auto"/>
        <w:bottom w:val="none" w:sz="0" w:space="0" w:color="auto"/>
        <w:right w:val="none" w:sz="0" w:space="0" w:color="auto"/>
      </w:divBdr>
    </w:div>
    <w:div w:id="166024083">
      <w:bodyDiv w:val="1"/>
      <w:marLeft w:val="0"/>
      <w:marRight w:val="0"/>
      <w:marTop w:val="0"/>
      <w:marBottom w:val="0"/>
      <w:divBdr>
        <w:top w:val="none" w:sz="0" w:space="0" w:color="auto"/>
        <w:left w:val="none" w:sz="0" w:space="0" w:color="auto"/>
        <w:bottom w:val="none" w:sz="0" w:space="0" w:color="auto"/>
        <w:right w:val="none" w:sz="0" w:space="0" w:color="auto"/>
      </w:divBdr>
    </w:div>
    <w:div w:id="330720813">
      <w:bodyDiv w:val="1"/>
      <w:marLeft w:val="0"/>
      <w:marRight w:val="0"/>
      <w:marTop w:val="0"/>
      <w:marBottom w:val="0"/>
      <w:divBdr>
        <w:top w:val="none" w:sz="0" w:space="0" w:color="auto"/>
        <w:left w:val="none" w:sz="0" w:space="0" w:color="auto"/>
        <w:bottom w:val="none" w:sz="0" w:space="0" w:color="auto"/>
        <w:right w:val="none" w:sz="0" w:space="0" w:color="auto"/>
      </w:divBdr>
    </w:div>
    <w:div w:id="331878032">
      <w:bodyDiv w:val="1"/>
      <w:marLeft w:val="0"/>
      <w:marRight w:val="0"/>
      <w:marTop w:val="0"/>
      <w:marBottom w:val="0"/>
      <w:divBdr>
        <w:top w:val="none" w:sz="0" w:space="0" w:color="auto"/>
        <w:left w:val="none" w:sz="0" w:space="0" w:color="auto"/>
        <w:bottom w:val="none" w:sz="0" w:space="0" w:color="auto"/>
        <w:right w:val="none" w:sz="0" w:space="0" w:color="auto"/>
      </w:divBdr>
    </w:div>
    <w:div w:id="457721334">
      <w:bodyDiv w:val="1"/>
      <w:marLeft w:val="0"/>
      <w:marRight w:val="0"/>
      <w:marTop w:val="0"/>
      <w:marBottom w:val="0"/>
      <w:divBdr>
        <w:top w:val="none" w:sz="0" w:space="0" w:color="auto"/>
        <w:left w:val="none" w:sz="0" w:space="0" w:color="auto"/>
        <w:bottom w:val="none" w:sz="0" w:space="0" w:color="auto"/>
        <w:right w:val="none" w:sz="0" w:space="0" w:color="auto"/>
      </w:divBdr>
    </w:div>
    <w:div w:id="472253442">
      <w:bodyDiv w:val="1"/>
      <w:marLeft w:val="0"/>
      <w:marRight w:val="0"/>
      <w:marTop w:val="0"/>
      <w:marBottom w:val="0"/>
      <w:divBdr>
        <w:top w:val="none" w:sz="0" w:space="0" w:color="auto"/>
        <w:left w:val="none" w:sz="0" w:space="0" w:color="auto"/>
        <w:bottom w:val="none" w:sz="0" w:space="0" w:color="auto"/>
        <w:right w:val="none" w:sz="0" w:space="0" w:color="auto"/>
      </w:divBdr>
    </w:div>
    <w:div w:id="634412607">
      <w:bodyDiv w:val="1"/>
      <w:marLeft w:val="0"/>
      <w:marRight w:val="0"/>
      <w:marTop w:val="0"/>
      <w:marBottom w:val="0"/>
      <w:divBdr>
        <w:top w:val="none" w:sz="0" w:space="0" w:color="auto"/>
        <w:left w:val="none" w:sz="0" w:space="0" w:color="auto"/>
        <w:bottom w:val="none" w:sz="0" w:space="0" w:color="auto"/>
        <w:right w:val="none" w:sz="0" w:space="0" w:color="auto"/>
      </w:divBdr>
    </w:div>
    <w:div w:id="638074959">
      <w:bodyDiv w:val="1"/>
      <w:marLeft w:val="0"/>
      <w:marRight w:val="0"/>
      <w:marTop w:val="0"/>
      <w:marBottom w:val="0"/>
      <w:divBdr>
        <w:top w:val="none" w:sz="0" w:space="0" w:color="auto"/>
        <w:left w:val="none" w:sz="0" w:space="0" w:color="auto"/>
        <w:bottom w:val="none" w:sz="0" w:space="0" w:color="auto"/>
        <w:right w:val="none" w:sz="0" w:space="0" w:color="auto"/>
      </w:divBdr>
    </w:div>
    <w:div w:id="877619545">
      <w:bodyDiv w:val="1"/>
      <w:marLeft w:val="0"/>
      <w:marRight w:val="0"/>
      <w:marTop w:val="0"/>
      <w:marBottom w:val="0"/>
      <w:divBdr>
        <w:top w:val="none" w:sz="0" w:space="0" w:color="auto"/>
        <w:left w:val="none" w:sz="0" w:space="0" w:color="auto"/>
        <w:bottom w:val="none" w:sz="0" w:space="0" w:color="auto"/>
        <w:right w:val="none" w:sz="0" w:space="0" w:color="auto"/>
      </w:divBdr>
    </w:div>
    <w:div w:id="927158331">
      <w:bodyDiv w:val="1"/>
      <w:marLeft w:val="0"/>
      <w:marRight w:val="0"/>
      <w:marTop w:val="0"/>
      <w:marBottom w:val="0"/>
      <w:divBdr>
        <w:top w:val="none" w:sz="0" w:space="0" w:color="auto"/>
        <w:left w:val="none" w:sz="0" w:space="0" w:color="auto"/>
        <w:bottom w:val="none" w:sz="0" w:space="0" w:color="auto"/>
        <w:right w:val="none" w:sz="0" w:space="0" w:color="auto"/>
      </w:divBdr>
    </w:div>
    <w:div w:id="938369537">
      <w:bodyDiv w:val="1"/>
      <w:marLeft w:val="0"/>
      <w:marRight w:val="0"/>
      <w:marTop w:val="0"/>
      <w:marBottom w:val="0"/>
      <w:divBdr>
        <w:top w:val="none" w:sz="0" w:space="0" w:color="auto"/>
        <w:left w:val="none" w:sz="0" w:space="0" w:color="auto"/>
        <w:bottom w:val="none" w:sz="0" w:space="0" w:color="auto"/>
        <w:right w:val="none" w:sz="0" w:space="0" w:color="auto"/>
      </w:divBdr>
    </w:div>
    <w:div w:id="1027945847">
      <w:bodyDiv w:val="1"/>
      <w:marLeft w:val="0"/>
      <w:marRight w:val="0"/>
      <w:marTop w:val="0"/>
      <w:marBottom w:val="0"/>
      <w:divBdr>
        <w:top w:val="none" w:sz="0" w:space="0" w:color="auto"/>
        <w:left w:val="none" w:sz="0" w:space="0" w:color="auto"/>
        <w:bottom w:val="none" w:sz="0" w:space="0" w:color="auto"/>
        <w:right w:val="none" w:sz="0" w:space="0" w:color="auto"/>
      </w:divBdr>
      <w:divsChild>
        <w:div w:id="916016185">
          <w:marLeft w:val="0"/>
          <w:marRight w:val="0"/>
          <w:marTop w:val="0"/>
          <w:marBottom w:val="0"/>
          <w:divBdr>
            <w:top w:val="none" w:sz="0" w:space="0" w:color="auto"/>
            <w:left w:val="none" w:sz="0" w:space="0" w:color="auto"/>
            <w:bottom w:val="none" w:sz="0" w:space="0" w:color="auto"/>
            <w:right w:val="none" w:sz="0" w:space="0" w:color="auto"/>
          </w:divBdr>
          <w:divsChild>
            <w:div w:id="155805019">
              <w:marLeft w:val="0"/>
              <w:marRight w:val="0"/>
              <w:marTop w:val="0"/>
              <w:marBottom w:val="0"/>
              <w:divBdr>
                <w:top w:val="none" w:sz="0" w:space="0" w:color="auto"/>
                <w:left w:val="none" w:sz="0" w:space="0" w:color="auto"/>
                <w:bottom w:val="none" w:sz="0" w:space="0" w:color="auto"/>
                <w:right w:val="none" w:sz="0" w:space="0" w:color="auto"/>
              </w:divBdr>
              <w:divsChild>
                <w:div w:id="741488577">
                  <w:marLeft w:val="0"/>
                  <w:marRight w:val="0"/>
                  <w:marTop w:val="0"/>
                  <w:marBottom w:val="0"/>
                  <w:divBdr>
                    <w:top w:val="none" w:sz="0" w:space="0" w:color="auto"/>
                    <w:left w:val="none" w:sz="0" w:space="0" w:color="auto"/>
                    <w:bottom w:val="none" w:sz="0" w:space="0" w:color="auto"/>
                    <w:right w:val="none" w:sz="0" w:space="0" w:color="auto"/>
                  </w:divBdr>
                  <w:divsChild>
                    <w:div w:id="144619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7301073">
              <w:marLeft w:val="0"/>
              <w:marRight w:val="0"/>
              <w:marTop w:val="0"/>
              <w:marBottom w:val="0"/>
              <w:divBdr>
                <w:top w:val="none" w:sz="0" w:space="0" w:color="auto"/>
                <w:left w:val="none" w:sz="0" w:space="0" w:color="auto"/>
                <w:bottom w:val="none" w:sz="0" w:space="0" w:color="auto"/>
                <w:right w:val="none" w:sz="0" w:space="0" w:color="auto"/>
              </w:divBdr>
              <w:divsChild>
                <w:div w:id="1200169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8166984">
      <w:bodyDiv w:val="1"/>
      <w:marLeft w:val="0"/>
      <w:marRight w:val="0"/>
      <w:marTop w:val="0"/>
      <w:marBottom w:val="0"/>
      <w:divBdr>
        <w:top w:val="none" w:sz="0" w:space="0" w:color="auto"/>
        <w:left w:val="none" w:sz="0" w:space="0" w:color="auto"/>
        <w:bottom w:val="none" w:sz="0" w:space="0" w:color="auto"/>
        <w:right w:val="none" w:sz="0" w:space="0" w:color="auto"/>
      </w:divBdr>
    </w:div>
    <w:div w:id="1082681413">
      <w:bodyDiv w:val="1"/>
      <w:marLeft w:val="0"/>
      <w:marRight w:val="0"/>
      <w:marTop w:val="0"/>
      <w:marBottom w:val="0"/>
      <w:divBdr>
        <w:top w:val="none" w:sz="0" w:space="0" w:color="auto"/>
        <w:left w:val="none" w:sz="0" w:space="0" w:color="auto"/>
        <w:bottom w:val="none" w:sz="0" w:space="0" w:color="auto"/>
        <w:right w:val="none" w:sz="0" w:space="0" w:color="auto"/>
      </w:divBdr>
    </w:div>
    <w:div w:id="1092778586">
      <w:bodyDiv w:val="1"/>
      <w:marLeft w:val="0"/>
      <w:marRight w:val="0"/>
      <w:marTop w:val="0"/>
      <w:marBottom w:val="0"/>
      <w:divBdr>
        <w:top w:val="none" w:sz="0" w:space="0" w:color="auto"/>
        <w:left w:val="none" w:sz="0" w:space="0" w:color="auto"/>
        <w:bottom w:val="none" w:sz="0" w:space="0" w:color="auto"/>
        <w:right w:val="none" w:sz="0" w:space="0" w:color="auto"/>
      </w:divBdr>
    </w:div>
    <w:div w:id="1256551957">
      <w:bodyDiv w:val="1"/>
      <w:marLeft w:val="0"/>
      <w:marRight w:val="0"/>
      <w:marTop w:val="0"/>
      <w:marBottom w:val="0"/>
      <w:divBdr>
        <w:top w:val="none" w:sz="0" w:space="0" w:color="auto"/>
        <w:left w:val="none" w:sz="0" w:space="0" w:color="auto"/>
        <w:bottom w:val="none" w:sz="0" w:space="0" w:color="auto"/>
        <w:right w:val="none" w:sz="0" w:space="0" w:color="auto"/>
      </w:divBdr>
    </w:div>
    <w:div w:id="1300305152">
      <w:bodyDiv w:val="1"/>
      <w:marLeft w:val="0"/>
      <w:marRight w:val="0"/>
      <w:marTop w:val="0"/>
      <w:marBottom w:val="0"/>
      <w:divBdr>
        <w:top w:val="none" w:sz="0" w:space="0" w:color="auto"/>
        <w:left w:val="none" w:sz="0" w:space="0" w:color="auto"/>
        <w:bottom w:val="none" w:sz="0" w:space="0" w:color="auto"/>
        <w:right w:val="none" w:sz="0" w:space="0" w:color="auto"/>
      </w:divBdr>
    </w:div>
    <w:div w:id="1391613956">
      <w:bodyDiv w:val="1"/>
      <w:marLeft w:val="0"/>
      <w:marRight w:val="0"/>
      <w:marTop w:val="0"/>
      <w:marBottom w:val="0"/>
      <w:divBdr>
        <w:top w:val="none" w:sz="0" w:space="0" w:color="auto"/>
        <w:left w:val="none" w:sz="0" w:space="0" w:color="auto"/>
        <w:bottom w:val="none" w:sz="0" w:space="0" w:color="auto"/>
        <w:right w:val="none" w:sz="0" w:space="0" w:color="auto"/>
      </w:divBdr>
    </w:div>
    <w:div w:id="1442803740">
      <w:bodyDiv w:val="1"/>
      <w:marLeft w:val="0"/>
      <w:marRight w:val="0"/>
      <w:marTop w:val="0"/>
      <w:marBottom w:val="0"/>
      <w:divBdr>
        <w:top w:val="none" w:sz="0" w:space="0" w:color="auto"/>
        <w:left w:val="none" w:sz="0" w:space="0" w:color="auto"/>
        <w:bottom w:val="none" w:sz="0" w:space="0" w:color="auto"/>
        <w:right w:val="none" w:sz="0" w:space="0" w:color="auto"/>
      </w:divBdr>
      <w:divsChild>
        <w:div w:id="1807242051">
          <w:marLeft w:val="0"/>
          <w:marRight w:val="0"/>
          <w:marTop w:val="0"/>
          <w:marBottom w:val="0"/>
          <w:divBdr>
            <w:top w:val="none" w:sz="0" w:space="0" w:color="auto"/>
            <w:left w:val="none" w:sz="0" w:space="0" w:color="auto"/>
            <w:bottom w:val="none" w:sz="0" w:space="0" w:color="auto"/>
            <w:right w:val="none" w:sz="0" w:space="0" w:color="auto"/>
          </w:divBdr>
          <w:divsChild>
            <w:div w:id="1492410207">
              <w:marLeft w:val="0"/>
              <w:marRight w:val="0"/>
              <w:marTop w:val="0"/>
              <w:marBottom w:val="0"/>
              <w:divBdr>
                <w:top w:val="none" w:sz="0" w:space="0" w:color="auto"/>
                <w:left w:val="none" w:sz="0" w:space="0" w:color="auto"/>
                <w:bottom w:val="none" w:sz="0" w:space="0" w:color="auto"/>
                <w:right w:val="none" w:sz="0" w:space="0" w:color="auto"/>
              </w:divBdr>
              <w:divsChild>
                <w:div w:id="227225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713538">
      <w:bodyDiv w:val="1"/>
      <w:marLeft w:val="0"/>
      <w:marRight w:val="0"/>
      <w:marTop w:val="0"/>
      <w:marBottom w:val="0"/>
      <w:divBdr>
        <w:top w:val="none" w:sz="0" w:space="0" w:color="auto"/>
        <w:left w:val="none" w:sz="0" w:space="0" w:color="auto"/>
        <w:bottom w:val="none" w:sz="0" w:space="0" w:color="auto"/>
        <w:right w:val="none" w:sz="0" w:space="0" w:color="auto"/>
      </w:divBdr>
    </w:div>
    <w:div w:id="15627878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www.gov.uk/government/publications/furnished-holiday-lettings-tax-regime-abolition" TargetMode="Externa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BBFB84D2F7D7C4FBAEC38CD0ECE6169" ma:contentTypeVersion="18" ma:contentTypeDescription="Create a new document." ma:contentTypeScope="" ma:versionID="e5d6bd0a4bdf83ad50d76d904029c3a5">
  <xsd:schema xmlns:xsd="http://www.w3.org/2001/XMLSchema" xmlns:xs="http://www.w3.org/2001/XMLSchema" xmlns:p="http://schemas.microsoft.com/office/2006/metadata/properties" xmlns:ns2="4eeb76c0-1824-44cf-98ae-b6d0c7a63fb1" xmlns:ns3="89852fe5-8403-4d71-98b1-3957e8d62544" targetNamespace="http://schemas.microsoft.com/office/2006/metadata/properties" ma:root="true" ma:fieldsID="d4a969556a15f40fc84e8a8d65c5f30d" ns2:_="" ns3:_="">
    <xsd:import namespace="4eeb76c0-1824-44cf-98ae-b6d0c7a63fb1"/>
    <xsd:import namespace="89852fe5-8403-4d71-98b1-3957e8d6254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eb76c0-1824-44cf-98ae-b6d0c7a63f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30e353b-1ed3-4f73-8d97-0dc2673dfc7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9852fe5-8403-4d71-98b1-3957e8d62544"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1dd63c80-a7c1-4b1b-b215-05a894a26d5f}" ma:internalName="TaxCatchAll" ma:showField="CatchAllData" ma:web="89852fe5-8403-4d71-98b1-3957e8d62544">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eeb76c0-1824-44cf-98ae-b6d0c7a63fb1">
      <Terms xmlns="http://schemas.microsoft.com/office/infopath/2007/PartnerControls"/>
    </lcf76f155ced4ddcb4097134ff3c332f>
    <TaxCatchAll xmlns="89852fe5-8403-4d71-98b1-3957e8d62544" xsi:nil="true"/>
  </documentManagement>
</p:properties>
</file>

<file path=customXml/itemProps1.xml><?xml version="1.0" encoding="utf-8"?>
<ds:datastoreItem xmlns:ds="http://schemas.openxmlformats.org/officeDocument/2006/customXml" ds:itemID="{0A0A1709-EF95-4C54-8E33-63D89FF86025}"/>
</file>

<file path=customXml/itemProps2.xml><?xml version="1.0" encoding="utf-8"?>
<ds:datastoreItem xmlns:ds="http://schemas.openxmlformats.org/officeDocument/2006/customXml" ds:itemID="{C9BBD4F6-3B17-4E10-96CF-69282ABEF026}">
  <ds:schemaRefs>
    <ds:schemaRef ds:uri="http://schemas.microsoft.com/sharepoint/v3/contenttype/forms"/>
  </ds:schemaRefs>
</ds:datastoreItem>
</file>

<file path=customXml/itemProps3.xml><?xml version="1.0" encoding="utf-8"?>
<ds:datastoreItem xmlns:ds="http://schemas.openxmlformats.org/officeDocument/2006/customXml" ds:itemID="{D18B349F-7136-400E-AD75-85C6D24FBB00}"/>
</file>

<file path=docProps/app.xml><?xml version="1.0" encoding="utf-8"?>
<Properties xmlns="http://schemas.openxmlformats.org/officeDocument/2006/extended-properties" xmlns:vt="http://schemas.openxmlformats.org/officeDocument/2006/docPropsVTypes">
  <Template>Normal</Template>
  <TotalTime>0</TotalTime>
  <Pages>2</Pages>
  <Words>1049</Words>
  <Characters>5984</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Stephen Jones</dc:creator>
  <cp:lastModifiedBy>Emma Gilbert-Smith</cp:lastModifiedBy>
  <cp:revision>86</cp:revision>
  <dcterms:created xsi:type="dcterms:W3CDTF">2024-08-12T10:28:00Z</dcterms:created>
  <dcterms:modified xsi:type="dcterms:W3CDTF">2024-08-13T11:05:00Z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0x010100EBBFB84D2F7D7C4FBAEC38CD0ECE6169</vt:lpwstr>
  </property>
</Properties>
</file>