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CBC03" w14:textId="77777777" w:rsidR="00D13483" w:rsidRDefault="00FF6E19">
      <w:pPr>
        <w:pStyle w:val="Heading1"/>
        <w:spacing w:before="0" w:line="240" w:lineRule="auto"/>
        <w:rPr>
          <w:b/>
          <w:sz w:val="34"/>
          <w:szCs w:val="34"/>
        </w:rPr>
      </w:pPr>
      <w:bookmarkStart w:id="0" w:name="_qk6ydystgxtf" w:colFirst="0" w:colLast="0"/>
      <w:bookmarkEnd w:id="0"/>
      <w:r>
        <w:rPr>
          <w:b/>
          <w:sz w:val="34"/>
          <w:szCs w:val="34"/>
        </w:rPr>
        <w:t>How does the finance cost allowance work?</w:t>
      </w:r>
    </w:p>
    <w:p w14:paraId="419CBC04" w14:textId="77777777" w:rsidR="00D13483" w:rsidRDefault="00FF6E19">
      <w:pPr>
        <w:jc w:val="both"/>
        <w:rPr>
          <w:sz w:val="20"/>
          <w:szCs w:val="20"/>
        </w:rPr>
      </w:pPr>
      <w:r>
        <w:rPr>
          <w:sz w:val="20"/>
          <w:szCs w:val="20"/>
        </w:rPr>
        <w:t>Finance costs are any costs involved in borrowing money to purchase or build assets.  Finance costs for residential landlords include mortgage interest, loan interest to furnish the property and any fees incurred when taking out or repaying a mortgage or loan.</w:t>
      </w:r>
    </w:p>
    <w:p w14:paraId="419CBC05" w14:textId="77777777" w:rsidR="00D13483" w:rsidRDefault="00D13483">
      <w:pPr>
        <w:jc w:val="both"/>
        <w:rPr>
          <w:sz w:val="20"/>
          <w:szCs w:val="20"/>
        </w:rPr>
      </w:pPr>
    </w:p>
    <w:p w14:paraId="419CBC06" w14:textId="261E2C02" w:rsidR="00D13483" w:rsidRDefault="004166A2">
      <w:pPr>
        <w:jc w:val="both"/>
        <w:rPr>
          <w:sz w:val="20"/>
          <w:szCs w:val="20"/>
        </w:rPr>
      </w:pPr>
      <w:r>
        <w:rPr>
          <w:sz w:val="20"/>
          <w:szCs w:val="20"/>
        </w:rPr>
        <w:t>I</w:t>
      </w:r>
      <w:r w:rsidR="00FF6E19">
        <w:rPr>
          <w:sz w:val="20"/>
          <w:szCs w:val="20"/>
        </w:rPr>
        <w:t>ndividuals can claim a 20% deduction from their Income Tax liability for the sum of finance costs that were not deducted when calculating the profit. Any unused costs can then be carried forward to the next tax year.</w:t>
      </w:r>
    </w:p>
    <w:p w14:paraId="419CBC07" w14:textId="77777777" w:rsidR="00D13483" w:rsidRDefault="00FF6E19">
      <w:pPr>
        <w:pStyle w:val="Heading3"/>
        <w:jc w:val="both"/>
        <w:rPr>
          <w:b/>
          <w:sz w:val="20"/>
          <w:szCs w:val="20"/>
        </w:rPr>
      </w:pPr>
      <w:bookmarkStart w:id="1" w:name="_g0i6ohu2agsq" w:colFirst="0" w:colLast="0"/>
      <w:bookmarkEnd w:id="1"/>
      <w:r>
        <w:rPr>
          <w:b/>
        </w:rPr>
        <w:t>How does it work in practice?</w:t>
      </w:r>
    </w:p>
    <w:p w14:paraId="419CBC08" w14:textId="77777777" w:rsidR="00D13483" w:rsidRDefault="00FF6E19">
      <w:pPr>
        <w:jc w:val="both"/>
        <w:rPr>
          <w:sz w:val="20"/>
          <w:szCs w:val="20"/>
        </w:rPr>
      </w:pPr>
      <w:r>
        <w:rPr>
          <w:sz w:val="20"/>
          <w:szCs w:val="20"/>
        </w:rPr>
        <w:t>For example, Tom is a residential landlord with the following income and finance costs in the tax year:</w:t>
      </w:r>
    </w:p>
    <w:p w14:paraId="419CBC09" w14:textId="77777777" w:rsidR="00D13483" w:rsidRDefault="00D13483">
      <w:pPr>
        <w:jc w:val="both"/>
        <w:rPr>
          <w:sz w:val="20"/>
          <w:szCs w:val="20"/>
        </w:rPr>
      </w:pPr>
    </w:p>
    <w:tbl>
      <w:tblPr>
        <w:tblStyle w:val="a"/>
        <w:tblW w:w="4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6"/>
        <w:gridCol w:w="2076"/>
      </w:tblGrid>
      <w:tr w:rsidR="00D13483" w14:paraId="419CBC0C" w14:textId="77777777">
        <w:tc>
          <w:tcPr>
            <w:tcW w:w="2076" w:type="dxa"/>
            <w:shd w:val="clear" w:color="auto" w:fill="D9D9D9"/>
            <w:tcMar>
              <w:top w:w="100" w:type="dxa"/>
              <w:left w:w="100" w:type="dxa"/>
              <w:bottom w:w="100" w:type="dxa"/>
              <w:right w:w="100" w:type="dxa"/>
            </w:tcMar>
          </w:tcPr>
          <w:p w14:paraId="419CBC0A" w14:textId="77777777" w:rsidR="00D13483" w:rsidRDefault="00FF6E19">
            <w:pPr>
              <w:widowControl w:val="0"/>
              <w:spacing w:line="240" w:lineRule="auto"/>
              <w:jc w:val="both"/>
              <w:rPr>
                <w:b/>
                <w:sz w:val="20"/>
                <w:szCs w:val="20"/>
              </w:rPr>
            </w:pPr>
            <w:r>
              <w:rPr>
                <w:b/>
                <w:sz w:val="20"/>
                <w:szCs w:val="20"/>
              </w:rPr>
              <w:t>Income/Costs</w:t>
            </w:r>
          </w:p>
        </w:tc>
        <w:tc>
          <w:tcPr>
            <w:tcW w:w="2076" w:type="dxa"/>
            <w:tcBorders>
              <w:bottom w:val="single" w:sz="4" w:space="0" w:color="000000"/>
            </w:tcBorders>
            <w:shd w:val="clear" w:color="auto" w:fill="D9D9D9"/>
            <w:tcMar>
              <w:top w:w="100" w:type="dxa"/>
              <w:left w:w="100" w:type="dxa"/>
              <w:bottom w:w="100" w:type="dxa"/>
              <w:right w:w="100" w:type="dxa"/>
            </w:tcMar>
          </w:tcPr>
          <w:p w14:paraId="419CBC0B" w14:textId="77777777" w:rsidR="00D13483" w:rsidRDefault="00FF6E19">
            <w:pPr>
              <w:widowControl w:val="0"/>
              <w:spacing w:line="240" w:lineRule="auto"/>
              <w:jc w:val="both"/>
              <w:rPr>
                <w:b/>
                <w:sz w:val="20"/>
                <w:szCs w:val="20"/>
              </w:rPr>
            </w:pPr>
            <w:r>
              <w:rPr>
                <w:b/>
                <w:sz w:val="20"/>
                <w:szCs w:val="20"/>
              </w:rPr>
              <w:t>Amount</w:t>
            </w:r>
          </w:p>
        </w:tc>
      </w:tr>
      <w:tr w:rsidR="00D13483" w14:paraId="419CBC0F" w14:textId="77777777">
        <w:tc>
          <w:tcPr>
            <w:tcW w:w="2076" w:type="dxa"/>
            <w:tcBorders>
              <w:right w:val="single" w:sz="4" w:space="0" w:color="000000"/>
            </w:tcBorders>
            <w:shd w:val="clear" w:color="auto" w:fill="auto"/>
            <w:tcMar>
              <w:top w:w="100" w:type="dxa"/>
              <w:left w:w="100" w:type="dxa"/>
              <w:bottom w:w="100" w:type="dxa"/>
              <w:right w:w="100" w:type="dxa"/>
            </w:tcMar>
          </w:tcPr>
          <w:p w14:paraId="419CBC0D" w14:textId="77777777" w:rsidR="00D13483" w:rsidRDefault="00FF6E19">
            <w:pPr>
              <w:widowControl w:val="0"/>
              <w:spacing w:line="240" w:lineRule="auto"/>
              <w:jc w:val="both"/>
              <w:rPr>
                <w:sz w:val="20"/>
                <w:szCs w:val="20"/>
              </w:rPr>
            </w:pPr>
            <w:r>
              <w:rPr>
                <w:sz w:val="20"/>
                <w:szCs w:val="20"/>
              </w:rPr>
              <w:t>Employment income</w:t>
            </w:r>
          </w:p>
        </w:tc>
        <w:tc>
          <w:tcPr>
            <w:tcW w:w="2076" w:type="dxa"/>
            <w:tcBorders>
              <w:top w:val="single" w:sz="4" w:space="0" w:color="000000"/>
              <w:left w:val="single" w:sz="4" w:space="0" w:color="000000"/>
              <w:right w:val="single" w:sz="4" w:space="0" w:color="000000"/>
            </w:tcBorders>
            <w:shd w:val="clear" w:color="auto" w:fill="auto"/>
            <w:tcMar>
              <w:top w:w="100" w:type="dxa"/>
              <w:left w:w="100" w:type="dxa"/>
              <w:bottom w:w="100" w:type="dxa"/>
              <w:right w:w="100" w:type="dxa"/>
            </w:tcMar>
          </w:tcPr>
          <w:p w14:paraId="419CBC0E" w14:textId="407B86B8" w:rsidR="00D13483" w:rsidRDefault="00FF6E19">
            <w:pPr>
              <w:widowControl w:val="0"/>
              <w:spacing w:line="240" w:lineRule="auto"/>
              <w:jc w:val="both"/>
              <w:rPr>
                <w:sz w:val="20"/>
                <w:szCs w:val="20"/>
              </w:rPr>
            </w:pPr>
            <w:r>
              <w:rPr>
                <w:sz w:val="20"/>
                <w:szCs w:val="20"/>
              </w:rPr>
              <w:t>£</w:t>
            </w:r>
            <w:r w:rsidR="00D348CE">
              <w:rPr>
                <w:sz w:val="20"/>
                <w:szCs w:val="20"/>
              </w:rPr>
              <w:t>4</w:t>
            </w:r>
            <w:r>
              <w:rPr>
                <w:sz w:val="20"/>
                <w:szCs w:val="20"/>
              </w:rPr>
              <w:t>5,000</w:t>
            </w:r>
          </w:p>
        </w:tc>
      </w:tr>
      <w:tr w:rsidR="00D13483" w14:paraId="419CBC12" w14:textId="77777777">
        <w:tc>
          <w:tcPr>
            <w:tcW w:w="2076" w:type="dxa"/>
            <w:shd w:val="clear" w:color="auto" w:fill="auto"/>
            <w:tcMar>
              <w:top w:w="100" w:type="dxa"/>
              <w:left w:w="100" w:type="dxa"/>
              <w:bottom w:w="100" w:type="dxa"/>
              <w:right w:w="100" w:type="dxa"/>
            </w:tcMar>
          </w:tcPr>
          <w:p w14:paraId="419CBC10" w14:textId="77777777" w:rsidR="00D13483" w:rsidRDefault="00FF6E19">
            <w:pPr>
              <w:widowControl w:val="0"/>
              <w:spacing w:line="240" w:lineRule="auto"/>
              <w:jc w:val="both"/>
              <w:rPr>
                <w:sz w:val="20"/>
                <w:szCs w:val="20"/>
              </w:rPr>
            </w:pPr>
            <w:r>
              <w:rPr>
                <w:sz w:val="20"/>
                <w:szCs w:val="20"/>
              </w:rPr>
              <w:t>Rental income</w:t>
            </w:r>
          </w:p>
        </w:tc>
        <w:tc>
          <w:tcPr>
            <w:tcW w:w="2076" w:type="dxa"/>
            <w:shd w:val="clear" w:color="auto" w:fill="auto"/>
            <w:tcMar>
              <w:top w:w="100" w:type="dxa"/>
              <w:left w:w="100" w:type="dxa"/>
              <w:bottom w:w="100" w:type="dxa"/>
              <w:right w:w="100" w:type="dxa"/>
            </w:tcMar>
          </w:tcPr>
          <w:p w14:paraId="419CBC11" w14:textId="77777777" w:rsidR="00D13483" w:rsidRDefault="00FF6E19">
            <w:pPr>
              <w:widowControl w:val="0"/>
              <w:spacing w:line="240" w:lineRule="auto"/>
              <w:jc w:val="both"/>
              <w:rPr>
                <w:sz w:val="20"/>
                <w:szCs w:val="20"/>
              </w:rPr>
            </w:pPr>
            <w:r>
              <w:rPr>
                <w:sz w:val="20"/>
                <w:szCs w:val="20"/>
              </w:rPr>
              <w:t>£25,000</w:t>
            </w:r>
          </w:p>
        </w:tc>
      </w:tr>
      <w:tr w:rsidR="00D13483" w14:paraId="419CBC15" w14:textId="77777777">
        <w:tc>
          <w:tcPr>
            <w:tcW w:w="2076" w:type="dxa"/>
            <w:shd w:val="clear" w:color="auto" w:fill="auto"/>
            <w:tcMar>
              <w:top w:w="100" w:type="dxa"/>
              <w:left w:w="100" w:type="dxa"/>
              <w:bottom w:w="100" w:type="dxa"/>
              <w:right w:w="100" w:type="dxa"/>
            </w:tcMar>
          </w:tcPr>
          <w:p w14:paraId="419CBC13" w14:textId="77777777" w:rsidR="00D13483" w:rsidRDefault="00FF6E19">
            <w:pPr>
              <w:widowControl w:val="0"/>
              <w:spacing w:line="240" w:lineRule="auto"/>
              <w:jc w:val="both"/>
              <w:rPr>
                <w:sz w:val="20"/>
                <w:szCs w:val="20"/>
              </w:rPr>
            </w:pPr>
            <w:r>
              <w:rPr>
                <w:sz w:val="20"/>
                <w:szCs w:val="20"/>
              </w:rPr>
              <w:t>Mortgage interest</w:t>
            </w:r>
          </w:p>
        </w:tc>
        <w:tc>
          <w:tcPr>
            <w:tcW w:w="2076" w:type="dxa"/>
            <w:shd w:val="clear" w:color="auto" w:fill="auto"/>
            <w:tcMar>
              <w:top w:w="100" w:type="dxa"/>
              <w:left w:w="100" w:type="dxa"/>
              <w:bottom w:w="100" w:type="dxa"/>
              <w:right w:w="100" w:type="dxa"/>
            </w:tcMar>
          </w:tcPr>
          <w:p w14:paraId="419CBC14" w14:textId="77777777" w:rsidR="00D13483" w:rsidRDefault="00FF6E19">
            <w:pPr>
              <w:widowControl w:val="0"/>
              <w:spacing w:line="240" w:lineRule="auto"/>
              <w:jc w:val="both"/>
              <w:rPr>
                <w:sz w:val="20"/>
                <w:szCs w:val="20"/>
              </w:rPr>
            </w:pPr>
            <w:r>
              <w:rPr>
                <w:sz w:val="20"/>
                <w:szCs w:val="20"/>
              </w:rPr>
              <w:t>£10,000</w:t>
            </w:r>
          </w:p>
        </w:tc>
      </w:tr>
      <w:tr w:rsidR="00D13483" w14:paraId="419CBC18" w14:textId="77777777">
        <w:tc>
          <w:tcPr>
            <w:tcW w:w="2076" w:type="dxa"/>
            <w:shd w:val="clear" w:color="auto" w:fill="auto"/>
            <w:tcMar>
              <w:top w:w="100" w:type="dxa"/>
              <w:left w:w="100" w:type="dxa"/>
              <w:bottom w:w="100" w:type="dxa"/>
              <w:right w:w="100" w:type="dxa"/>
            </w:tcMar>
          </w:tcPr>
          <w:p w14:paraId="419CBC16" w14:textId="77777777" w:rsidR="00D13483" w:rsidRDefault="00FF6E19">
            <w:pPr>
              <w:widowControl w:val="0"/>
              <w:spacing w:line="240" w:lineRule="auto"/>
              <w:jc w:val="both"/>
              <w:rPr>
                <w:sz w:val="20"/>
                <w:szCs w:val="20"/>
              </w:rPr>
            </w:pPr>
            <w:r>
              <w:rPr>
                <w:sz w:val="20"/>
                <w:szCs w:val="20"/>
              </w:rPr>
              <w:t>Allowable expenses</w:t>
            </w:r>
          </w:p>
        </w:tc>
        <w:tc>
          <w:tcPr>
            <w:tcW w:w="2076" w:type="dxa"/>
            <w:shd w:val="clear" w:color="auto" w:fill="auto"/>
            <w:tcMar>
              <w:top w:w="100" w:type="dxa"/>
              <w:left w:w="100" w:type="dxa"/>
              <w:bottom w:w="100" w:type="dxa"/>
              <w:right w:w="100" w:type="dxa"/>
            </w:tcMar>
          </w:tcPr>
          <w:p w14:paraId="419CBC17" w14:textId="77777777" w:rsidR="00D13483" w:rsidRDefault="00FF6E19">
            <w:pPr>
              <w:widowControl w:val="0"/>
              <w:spacing w:line="240" w:lineRule="auto"/>
              <w:jc w:val="both"/>
              <w:rPr>
                <w:sz w:val="20"/>
                <w:szCs w:val="20"/>
              </w:rPr>
            </w:pPr>
            <w:r>
              <w:rPr>
                <w:sz w:val="20"/>
                <w:szCs w:val="20"/>
              </w:rPr>
              <w:t>£5,000</w:t>
            </w:r>
          </w:p>
        </w:tc>
      </w:tr>
      <w:tr w:rsidR="00D13483" w14:paraId="419CBC1B" w14:textId="77777777">
        <w:tc>
          <w:tcPr>
            <w:tcW w:w="2076" w:type="dxa"/>
            <w:shd w:val="clear" w:color="auto" w:fill="auto"/>
            <w:tcMar>
              <w:top w:w="100" w:type="dxa"/>
              <w:left w:w="100" w:type="dxa"/>
              <w:bottom w:w="100" w:type="dxa"/>
              <w:right w:w="100" w:type="dxa"/>
            </w:tcMar>
          </w:tcPr>
          <w:p w14:paraId="419CBC19" w14:textId="77777777" w:rsidR="00D13483" w:rsidRDefault="00FF6E19">
            <w:pPr>
              <w:widowControl w:val="0"/>
              <w:spacing w:line="240" w:lineRule="auto"/>
              <w:rPr>
                <w:sz w:val="20"/>
                <w:szCs w:val="20"/>
              </w:rPr>
            </w:pPr>
            <w:r>
              <w:rPr>
                <w:sz w:val="20"/>
                <w:szCs w:val="20"/>
              </w:rPr>
              <w:t>Property losses carried forward</w:t>
            </w:r>
          </w:p>
        </w:tc>
        <w:tc>
          <w:tcPr>
            <w:tcW w:w="2076" w:type="dxa"/>
            <w:shd w:val="clear" w:color="auto" w:fill="auto"/>
            <w:tcMar>
              <w:top w:w="100" w:type="dxa"/>
              <w:left w:w="100" w:type="dxa"/>
              <w:bottom w:w="100" w:type="dxa"/>
              <w:right w:w="100" w:type="dxa"/>
            </w:tcMar>
          </w:tcPr>
          <w:p w14:paraId="419CBC1A" w14:textId="77777777" w:rsidR="00D13483" w:rsidRDefault="00FF6E19">
            <w:pPr>
              <w:widowControl w:val="0"/>
              <w:spacing w:line="240" w:lineRule="auto"/>
              <w:jc w:val="both"/>
              <w:rPr>
                <w:sz w:val="20"/>
                <w:szCs w:val="20"/>
              </w:rPr>
            </w:pPr>
            <w:r>
              <w:rPr>
                <w:sz w:val="20"/>
                <w:szCs w:val="20"/>
              </w:rPr>
              <w:t>£15,500</w:t>
            </w:r>
          </w:p>
        </w:tc>
      </w:tr>
      <w:tr w:rsidR="00D13483" w14:paraId="419CBC1E" w14:textId="77777777">
        <w:tc>
          <w:tcPr>
            <w:tcW w:w="2076" w:type="dxa"/>
            <w:shd w:val="clear" w:color="auto" w:fill="auto"/>
            <w:tcMar>
              <w:top w:w="100" w:type="dxa"/>
              <w:left w:w="100" w:type="dxa"/>
              <w:bottom w:w="100" w:type="dxa"/>
              <w:right w:w="100" w:type="dxa"/>
            </w:tcMar>
          </w:tcPr>
          <w:p w14:paraId="419CBC1C" w14:textId="77777777" w:rsidR="00D13483" w:rsidRDefault="00FF6E19">
            <w:pPr>
              <w:widowControl w:val="0"/>
              <w:spacing w:line="240" w:lineRule="auto"/>
              <w:rPr>
                <w:sz w:val="20"/>
                <w:szCs w:val="20"/>
              </w:rPr>
            </w:pPr>
            <w:r>
              <w:rPr>
                <w:sz w:val="20"/>
                <w:szCs w:val="20"/>
              </w:rPr>
              <w:t>Finance costs carried forward</w:t>
            </w:r>
          </w:p>
        </w:tc>
        <w:tc>
          <w:tcPr>
            <w:tcW w:w="2076" w:type="dxa"/>
            <w:shd w:val="clear" w:color="auto" w:fill="auto"/>
            <w:tcMar>
              <w:top w:w="100" w:type="dxa"/>
              <w:left w:w="100" w:type="dxa"/>
              <w:bottom w:w="100" w:type="dxa"/>
              <w:right w:w="100" w:type="dxa"/>
            </w:tcMar>
          </w:tcPr>
          <w:p w14:paraId="419CBC1D" w14:textId="77777777" w:rsidR="00D13483" w:rsidRDefault="00FF6E19">
            <w:pPr>
              <w:widowControl w:val="0"/>
              <w:spacing w:line="240" w:lineRule="auto"/>
              <w:jc w:val="both"/>
              <w:rPr>
                <w:sz w:val="20"/>
                <w:szCs w:val="20"/>
              </w:rPr>
            </w:pPr>
            <w:r>
              <w:rPr>
                <w:sz w:val="20"/>
                <w:szCs w:val="20"/>
              </w:rPr>
              <w:t>£2,000</w:t>
            </w:r>
          </w:p>
        </w:tc>
      </w:tr>
    </w:tbl>
    <w:p w14:paraId="419CBC1F" w14:textId="77777777" w:rsidR="00D13483" w:rsidRDefault="00D13483">
      <w:pPr>
        <w:jc w:val="both"/>
        <w:rPr>
          <w:sz w:val="20"/>
          <w:szCs w:val="20"/>
        </w:rPr>
      </w:pPr>
    </w:p>
    <w:p w14:paraId="419CBC20" w14:textId="77777777" w:rsidR="00D13483" w:rsidRDefault="00FF6E19">
      <w:pPr>
        <w:jc w:val="both"/>
        <w:rPr>
          <w:sz w:val="20"/>
          <w:szCs w:val="20"/>
        </w:rPr>
      </w:pPr>
      <w:r>
        <w:rPr>
          <w:sz w:val="20"/>
          <w:szCs w:val="20"/>
        </w:rPr>
        <w:t>Here's how Tom would calculate his Income Tax liability using the numbers above:</w:t>
      </w:r>
    </w:p>
    <w:p w14:paraId="419CBC21" w14:textId="77777777" w:rsidR="00D13483" w:rsidRDefault="00D13483">
      <w:pPr>
        <w:jc w:val="both"/>
        <w:rPr>
          <w:sz w:val="20"/>
          <w:szCs w:val="20"/>
        </w:rPr>
      </w:pPr>
    </w:p>
    <w:p w14:paraId="419CBC22" w14:textId="77777777" w:rsidR="00D13483" w:rsidRDefault="00FF6E19">
      <w:pPr>
        <w:jc w:val="both"/>
        <w:rPr>
          <w:b/>
          <w:sz w:val="20"/>
          <w:szCs w:val="20"/>
        </w:rPr>
      </w:pPr>
      <w:r>
        <w:rPr>
          <w:noProof/>
          <w:sz w:val="20"/>
          <w:szCs w:val="20"/>
        </w:rPr>
        <w:drawing>
          <wp:inline distT="114300" distB="114300" distL="114300" distR="114300" wp14:anchorId="419CBC41" wp14:editId="419CBC42">
            <wp:extent cx="2636990" cy="16002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636990" cy="1600200"/>
                    </a:xfrm>
                    <a:prstGeom prst="rect">
                      <a:avLst/>
                    </a:prstGeom>
                    <a:ln/>
                  </pic:spPr>
                </pic:pic>
              </a:graphicData>
            </a:graphic>
          </wp:inline>
        </w:drawing>
      </w:r>
    </w:p>
    <w:p w14:paraId="419CBC26" w14:textId="77777777" w:rsidR="00D13483" w:rsidRDefault="00FF6E19">
      <w:pPr>
        <w:jc w:val="both"/>
        <w:rPr>
          <w:sz w:val="20"/>
          <w:szCs w:val="20"/>
        </w:rPr>
      </w:pPr>
      <w:r>
        <w:rPr>
          <w:sz w:val="20"/>
          <w:szCs w:val="20"/>
        </w:rPr>
        <w:t>He would be taxed at the following rates:</w:t>
      </w:r>
    </w:p>
    <w:p w14:paraId="419CBC27" w14:textId="77777777" w:rsidR="00D13483" w:rsidRDefault="00D13483">
      <w:pPr>
        <w:jc w:val="both"/>
        <w:rPr>
          <w:sz w:val="20"/>
          <w:szCs w:val="20"/>
        </w:rPr>
      </w:pPr>
    </w:p>
    <w:p w14:paraId="419CBC28" w14:textId="5BFDB07A" w:rsidR="00D13483" w:rsidRDefault="00FF6E19">
      <w:pPr>
        <w:numPr>
          <w:ilvl w:val="0"/>
          <w:numId w:val="1"/>
        </w:numPr>
        <w:jc w:val="both"/>
        <w:rPr>
          <w:sz w:val="20"/>
          <w:szCs w:val="20"/>
        </w:rPr>
      </w:pPr>
      <w:r>
        <w:rPr>
          <w:sz w:val="20"/>
          <w:szCs w:val="20"/>
        </w:rPr>
        <w:t>Personal Allowance £12,5</w:t>
      </w:r>
      <w:r w:rsidR="00610088">
        <w:rPr>
          <w:sz w:val="20"/>
          <w:szCs w:val="20"/>
        </w:rPr>
        <w:t>7</w:t>
      </w:r>
      <w:r>
        <w:rPr>
          <w:sz w:val="20"/>
          <w:szCs w:val="20"/>
        </w:rPr>
        <w:t>0 at 0% = 0</w:t>
      </w:r>
    </w:p>
    <w:p w14:paraId="419CBC29" w14:textId="217B4FE9" w:rsidR="00D13483" w:rsidRDefault="00FF6E19">
      <w:pPr>
        <w:numPr>
          <w:ilvl w:val="0"/>
          <w:numId w:val="1"/>
        </w:numPr>
        <w:jc w:val="both"/>
        <w:rPr>
          <w:sz w:val="20"/>
          <w:szCs w:val="20"/>
        </w:rPr>
      </w:pPr>
      <w:r>
        <w:rPr>
          <w:sz w:val="20"/>
          <w:szCs w:val="20"/>
        </w:rPr>
        <w:t>Basic Rate £3</w:t>
      </w:r>
      <w:r w:rsidR="00DF52D2">
        <w:rPr>
          <w:sz w:val="20"/>
          <w:szCs w:val="20"/>
        </w:rPr>
        <w:t>6,93</w:t>
      </w:r>
      <w:r>
        <w:rPr>
          <w:sz w:val="20"/>
          <w:szCs w:val="20"/>
        </w:rPr>
        <w:t>0 at 20% = 7,</w:t>
      </w:r>
      <w:r w:rsidR="00EA77CC">
        <w:rPr>
          <w:sz w:val="20"/>
          <w:szCs w:val="20"/>
        </w:rPr>
        <w:t>386</w:t>
      </w:r>
    </w:p>
    <w:p w14:paraId="419CBC2A" w14:textId="77777777" w:rsidR="00D13483" w:rsidRDefault="00FF6E19">
      <w:pPr>
        <w:numPr>
          <w:ilvl w:val="0"/>
          <w:numId w:val="1"/>
        </w:numPr>
        <w:jc w:val="both"/>
        <w:rPr>
          <w:sz w:val="20"/>
          <w:szCs w:val="20"/>
        </w:rPr>
      </w:pPr>
      <w:r>
        <w:rPr>
          <w:sz w:val="20"/>
          <w:szCs w:val="20"/>
        </w:rPr>
        <w:t>Higher Rate £0 at 40% = 0</w:t>
      </w:r>
    </w:p>
    <w:p w14:paraId="419CBC2B" w14:textId="77777777" w:rsidR="00D13483" w:rsidRDefault="00D13483">
      <w:pPr>
        <w:jc w:val="both"/>
        <w:rPr>
          <w:sz w:val="20"/>
          <w:szCs w:val="20"/>
        </w:rPr>
      </w:pPr>
    </w:p>
    <w:p w14:paraId="419CBC2C" w14:textId="54377E6E" w:rsidR="00D13483" w:rsidRDefault="00FF6E19">
      <w:pPr>
        <w:jc w:val="both"/>
        <w:rPr>
          <w:sz w:val="20"/>
          <w:szCs w:val="20"/>
        </w:rPr>
      </w:pPr>
      <w:r>
        <w:rPr>
          <w:sz w:val="20"/>
          <w:szCs w:val="20"/>
        </w:rPr>
        <w:t xml:space="preserve">Therefore, Tom’s Income Tax liability before </w:t>
      </w:r>
      <w:r w:rsidR="0040567C">
        <w:rPr>
          <w:sz w:val="20"/>
          <w:szCs w:val="20"/>
        </w:rPr>
        <w:t>deducting finance costs</w:t>
      </w:r>
      <w:r>
        <w:rPr>
          <w:sz w:val="20"/>
          <w:szCs w:val="20"/>
        </w:rPr>
        <w:t xml:space="preserve"> would be </w:t>
      </w:r>
      <w:r>
        <w:rPr>
          <w:b/>
          <w:sz w:val="20"/>
          <w:szCs w:val="20"/>
        </w:rPr>
        <w:t>£7,</w:t>
      </w:r>
      <w:r w:rsidR="00EA77CC">
        <w:rPr>
          <w:b/>
          <w:sz w:val="20"/>
          <w:szCs w:val="20"/>
        </w:rPr>
        <w:t>386</w:t>
      </w:r>
      <w:r>
        <w:rPr>
          <w:sz w:val="20"/>
          <w:szCs w:val="20"/>
        </w:rPr>
        <w:t xml:space="preserve">. </w:t>
      </w:r>
    </w:p>
    <w:p w14:paraId="419CBC2D" w14:textId="77777777" w:rsidR="00D13483" w:rsidRDefault="00D13483">
      <w:pPr>
        <w:jc w:val="both"/>
        <w:rPr>
          <w:sz w:val="20"/>
          <w:szCs w:val="20"/>
        </w:rPr>
      </w:pPr>
    </w:p>
    <w:p w14:paraId="419CBC2E" w14:textId="77777777" w:rsidR="00D13483" w:rsidRDefault="00FF6E19">
      <w:pPr>
        <w:jc w:val="both"/>
        <w:rPr>
          <w:sz w:val="20"/>
          <w:szCs w:val="20"/>
        </w:rPr>
      </w:pPr>
      <w:r>
        <w:rPr>
          <w:sz w:val="20"/>
          <w:szCs w:val="20"/>
        </w:rPr>
        <w:t xml:space="preserve">The tax reduction is the basic rate value (20%) of </w:t>
      </w:r>
      <w:r>
        <w:rPr>
          <w:b/>
          <w:sz w:val="20"/>
          <w:szCs w:val="20"/>
        </w:rPr>
        <w:t>the lower of</w:t>
      </w:r>
      <w:r>
        <w:rPr>
          <w:sz w:val="20"/>
          <w:szCs w:val="20"/>
        </w:rPr>
        <w:t>:</w:t>
      </w:r>
    </w:p>
    <w:p w14:paraId="419CBC2F" w14:textId="77777777" w:rsidR="00D13483" w:rsidRDefault="00D13483">
      <w:pPr>
        <w:jc w:val="both"/>
        <w:rPr>
          <w:sz w:val="20"/>
          <w:szCs w:val="20"/>
        </w:rPr>
      </w:pPr>
    </w:p>
    <w:p w14:paraId="419CBC30" w14:textId="77777777" w:rsidR="00D13483" w:rsidRDefault="00FF6E19">
      <w:pPr>
        <w:numPr>
          <w:ilvl w:val="0"/>
          <w:numId w:val="2"/>
        </w:numPr>
        <w:jc w:val="both"/>
        <w:rPr>
          <w:b/>
          <w:sz w:val="20"/>
          <w:szCs w:val="20"/>
        </w:rPr>
      </w:pPr>
      <w:r>
        <w:rPr>
          <w:b/>
          <w:sz w:val="20"/>
          <w:szCs w:val="20"/>
        </w:rPr>
        <w:t>Unused finance costs</w:t>
      </w:r>
    </w:p>
    <w:p w14:paraId="419CBC31" w14:textId="77777777" w:rsidR="00D13483" w:rsidRDefault="00FF6E19">
      <w:pPr>
        <w:jc w:val="both"/>
        <w:rPr>
          <w:sz w:val="20"/>
          <w:szCs w:val="20"/>
        </w:rPr>
      </w:pPr>
      <w:r>
        <w:rPr>
          <w:sz w:val="20"/>
          <w:szCs w:val="20"/>
        </w:rPr>
        <w:t xml:space="preserve">Any finance costs not deducted in this tax year. In Tom’s case, this would include £10,000 of mortgage interest and £2,000 of costs carried forward from the previous tax year. This comes to a total of </w:t>
      </w:r>
      <w:r>
        <w:rPr>
          <w:b/>
          <w:sz w:val="20"/>
          <w:szCs w:val="20"/>
        </w:rPr>
        <w:t>£12,000</w:t>
      </w:r>
      <w:r>
        <w:rPr>
          <w:sz w:val="20"/>
          <w:szCs w:val="20"/>
        </w:rPr>
        <w:t>.</w:t>
      </w:r>
    </w:p>
    <w:p w14:paraId="419CBC32" w14:textId="77777777" w:rsidR="00D13483" w:rsidRDefault="00D13483">
      <w:pPr>
        <w:jc w:val="both"/>
        <w:rPr>
          <w:sz w:val="20"/>
          <w:szCs w:val="20"/>
        </w:rPr>
      </w:pPr>
    </w:p>
    <w:p w14:paraId="419CBC33" w14:textId="77777777" w:rsidR="00D13483" w:rsidRDefault="00FF6E19">
      <w:pPr>
        <w:numPr>
          <w:ilvl w:val="0"/>
          <w:numId w:val="2"/>
        </w:numPr>
        <w:jc w:val="both"/>
        <w:rPr>
          <w:b/>
          <w:sz w:val="20"/>
          <w:szCs w:val="20"/>
        </w:rPr>
      </w:pPr>
      <w:r>
        <w:rPr>
          <w:b/>
          <w:sz w:val="20"/>
          <w:szCs w:val="20"/>
        </w:rPr>
        <w:t>Property business profits</w:t>
      </w:r>
    </w:p>
    <w:p w14:paraId="419CBC34" w14:textId="77777777" w:rsidR="00D13483" w:rsidRDefault="00FF6E19">
      <w:pPr>
        <w:jc w:val="both"/>
        <w:rPr>
          <w:sz w:val="20"/>
          <w:szCs w:val="20"/>
        </w:rPr>
      </w:pPr>
      <w:r>
        <w:rPr>
          <w:sz w:val="20"/>
          <w:szCs w:val="20"/>
        </w:rPr>
        <w:t xml:space="preserve">Any profits of the property business in the tax year after deducting any losses carried forward. In Tom’s case, this would total </w:t>
      </w:r>
      <w:r>
        <w:rPr>
          <w:b/>
          <w:sz w:val="20"/>
          <w:szCs w:val="20"/>
        </w:rPr>
        <w:t>£4,500</w:t>
      </w:r>
      <w:r>
        <w:rPr>
          <w:sz w:val="20"/>
          <w:szCs w:val="20"/>
        </w:rPr>
        <w:t>.</w:t>
      </w:r>
    </w:p>
    <w:p w14:paraId="419CBC35" w14:textId="77777777" w:rsidR="00D13483" w:rsidRDefault="00D13483">
      <w:pPr>
        <w:jc w:val="both"/>
        <w:rPr>
          <w:sz w:val="20"/>
          <w:szCs w:val="20"/>
        </w:rPr>
      </w:pPr>
    </w:p>
    <w:p w14:paraId="419CBC36" w14:textId="77777777" w:rsidR="00D13483" w:rsidRDefault="00FF6E19">
      <w:pPr>
        <w:numPr>
          <w:ilvl w:val="0"/>
          <w:numId w:val="2"/>
        </w:numPr>
        <w:jc w:val="both"/>
        <w:rPr>
          <w:b/>
          <w:sz w:val="20"/>
          <w:szCs w:val="20"/>
        </w:rPr>
      </w:pPr>
      <w:r>
        <w:rPr>
          <w:b/>
          <w:sz w:val="20"/>
          <w:szCs w:val="20"/>
        </w:rPr>
        <w:t>Adjusted total income</w:t>
      </w:r>
    </w:p>
    <w:p w14:paraId="419CBC37" w14:textId="6FFA1581" w:rsidR="00D13483" w:rsidRDefault="00FF6E19">
      <w:pPr>
        <w:jc w:val="both"/>
        <w:rPr>
          <w:sz w:val="20"/>
          <w:szCs w:val="20"/>
        </w:rPr>
      </w:pPr>
      <w:r>
        <w:rPr>
          <w:sz w:val="20"/>
          <w:szCs w:val="20"/>
        </w:rPr>
        <w:t xml:space="preserve">Total income (after losses and reliefs) that exceeds your personal allowance. In Tom’s case, this would be </w:t>
      </w:r>
      <w:r>
        <w:rPr>
          <w:b/>
          <w:sz w:val="20"/>
          <w:szCs w:val="20"/>
        </w:rPr>
        <w:t>£3</w:t>
      </w:r>
      <w:r w:rsidR="00925F06">
        <w:rPr>
          <w:b/>
          <w:sz w:val="20"/>
          <w:szCs w:val="20"/>
        </w:rPr>
        <w:t>6,930</w:t>
      </w:r>
      <w:r>
        <w:rPr>
          <w:sz w:val="20"/>
          <w:szCs w:val="20"/>
        </w:rPr>
        <w:t xml:space="preserve">. </w:t>
      </w:r>
    </w:p>
    <w:p w14:paraId="419CBC38" w14:textId="77777777" w:rsidR="00D13483" w:rsidRDefault="00D13483">
      <w:pPr>
        <w:jc w:val="both"/>
        <w:rPr>
          <w:sz w:val="20"/>
          <w:szCs w:val="20"/>
        </w:rPr>
      </w:pPr>
    </w:p>
    <w:p w14:paraId="419CBC39" w14:textId="77777777" w:rsidR="00D13483" w:rsidRDefault="00FF6E19">
      <w:pPr>
        <w:jc w:val="both"/>
        <w:rPr>
          <w:sz w:val="20"/>
          <w:szCs w:val="20"/>
        </w:rPr>
      </w:pPr>
      <w:r>
        <w:rPr>
          <w:sz w:val="20"/>
          <w:szCs w:val="20"/>
        </w:rPr>
        <w:t xml:space="preserve">The lowest value is the property business profits which are £4,500. Therefore, the basic rate (20%) tax reduction is </w:t>
      </w:r>
      <w:r>
        <w:rPr>
          <w:b/>
          <w:sz w:val="20"/>
          <w:szCs w:val="20"/>
        </w:rPr>
        <w:t>£900</w:t>
      </w:r>
      <w:r>
        <w:rPr>
          <w:sz w:val="20"/>
          <w:szCs w:val="20"/>
        </w:rPr>
        <w:t>.</w:t>
      </w:r>
    </w:p>
    <w:p w14:paraId="419CBC3A" w14:textId="77777777" w:rsidR="00D13483" w:rsidRDefault="00D13483">
      <w:pPr>
        <w:jc w:val="both"/>
        <w:rPr>
          <w:sz w:val="20"/>
          <w:szCs w:val="20"/>
        </w:rPr>
      </w:pPr>
    </w:p>
    <w:p w14:paraId="419CBC3B" w14:textId="7792FB29" w:rsidR="00D13483" w:rsidRDefault="00FF6E19">
      <w:pPr>
        <w:jc w:val="both"/>
        <w:rPr>
          <w:sz w:val="20"/>
          <w:szCs w:val="20"/>
        </w:rPr>
      </w:pPr>
      <w:r>
        <w:rPr>
          <w:sz w:val="20"/>
          <w:szCs w:val="20"/>
        </w:rPr>
        <w:t>Tom then deducts that from his pre-reduction tax liability: 7,</w:t>
      </w:r>
      <w:r w:rsidR="00D3109C">
        <w:rPr>
          <w:sz w:val="20"/>
          <w:szCs w:val="20"/>
        </w:rPr>
        <w:t>386</w:t>
      </w:r>
      <w:r>
        <w:rPr>
          <w:sz w:val="20"/>
          <w:szCs w:val="20"/>
        </w:rPr>
        <w:t xml:space="preserve"> - 900 = 6,</w:t>
      </w:r>
      <w:r w:rsidR="00D3109C">
        <w:rPr>
          <w:sz w:val="20"/>
          <w:szCs w:val="20"/>
        </w:rPr>
        <w:t>486</w:t>
      </w:r>
      <w:r>
        <w:rPr>
          <w:sz w:val="20"/>
          <w:szCs w:val="20"/>
        </w:rPr>
        <w:t>.</w:t>
      </w:r>
    </w:p>
    <w:p w14:paraId="419CBC3C" w14:textId="77777777" w:rsidR="00D13483" w:rsidRDefault="00D13483">
      <w:pPr>
        <w:jc w:val="both"/>
        <w:rPr>
          <w:sz w:val="20"/>
          <w:szCs w:val="20"/>
        </w:rPr>
      </w:pPr>
    </w:p>
    <w:p w14:paraId="419CBC3D" w14:textId="5CBA5D50" w:rsidR="00D13483" w:rsidRDefault="00FF6E19">
      <w:pPr>
        <w:jc w:val="both"/>
        <w:rPr>
          <w:sz w:val="20"/>
          <w:szCs w:val="20"/>
        </w:rPr>
      </w:pPr>
      <w:r>
        <w:rPr>
          <w:b/>
          <w:sz w:val="20"/>
          <w:szCs w:val="20"/>
        </w:rPr>
        <w:t>£6,</w:t>
      </w:r>
      <w:r w:rsidR="00D3109C">
        <w:rPr>
          <w:b/>
          <w:sz w:val="20"/>
          <w:szCs w:val="20"/>
        </w:rPr>
        <w:t>486</w:t>
      </w:r>
      <w:r>
        <w:rPr>
          <w:b/>
          <w:sz w:val="20"/>
          <w:szCs w:val="20"/>
        </w:rPr>
        <w:t xml:space="preserve"> is Tom’s final tax liability </w:t>
      </w:r>
      <w:r>
        <w:rPr>
          <w:sz w:val="20"/>
          <w:szCs w:val="20"/>
        </w:rPr>
        <w:t xml:space="preserve">after the tax reduction. The remaining unused residential finance costs can be carried over to the following tax year. </w:t>
      </w:r>
    </w:p>
    <w:p w14:paraId="419CBC3E" w14:textId="77777777" w:rsidR="00D13483" w:rsidRDefault="00D13483">
      <w:pPr>
        <w:jc w:val="both"/>
        <w:rPr>
          <w:sz w:val="20"/>
          <w:szCs w:val="20"/>
        </w:rPr>
      </w:pPr>
    </w:p>
    <w:p w14:paraId="419CBC3F" w14:textId="77777777" w:rsidR="00D13483" w:rsidRDefault="00FF6E19">
      <w:pPr>
        <w:jc w:val="both"/>
      </w:pPr>
      <w:r>
        <w:rPr>
          <w:sz w:val="20"/>
          <w:szCs w:val="20"/>
        </w:rPr>
        <w:t xml:space="preserve">If you need help calculating your finance costs or income tax liability, please give us a call and we’d be happy to help. </w:t>
      </w:r>
    </w:p>
    <w:p w14:paraId="419CBC40" w14:textId="77777777" w:rsidR="00D13483" w:rsidRDefault="00D13483">
      <w:pPr>
        <w:jc w:val="both"/>
        <w:rPr>
          <w:sz w:val="23"/>
          <w:szCs w:val="23"/>
        </w:rPr>
      </w:pPr>
    </w:p>
    <w:sectPr w:rsidR="00D13483">
      <w:headerReference w:type="default" r:id="rId11"/>
      <w:footerReference w:type="default" r:id="rId12"/>
      <w:pgSz w:w="11909" w:h="16834"/>
      <w:pgMar w:top="1275" w:right="1440" w:bottom="1396"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02268" w14:textId="77777777" w:rsidR="004E0084" w:rsidRDefault="004E0084">
      <w:pPr>
        <w:spacing w:line="240" w:lineRule="auto"/>
      </w:pPr>
      <w:r>
        <w:separator/>
      </w:r>
    </w:p>
  </w:endnote>
  <w:endnote w:type="continuationSeparator" w:id="0">
    <w:p w14:paraId="20B7A449" w14:textId="77777777" w:rsidR="004E0084" w:rsidRDefault="004E00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BC4B" w14:textId="77777777" w:rsidR="00D13483" w:rsidRDefault="00341B56" w:rsidP="002C69DD">
    <w:pPr>
      <w:rPr>
        <w:i/>
      </w:rPr>
    </w:pPr>
    <w:r>
      <w:rPr>
        <w:noProof/>
      </w:rPr>
      <w:pict w14:anchorId="419CBC54">
        <v:rect id="_x0000_i1025" alt="" style="width:451.3pt;height:.05pt;mso-width-percent:0;mso-height-percent:0;mso-width-percent:0;mso-height-percent:0" o:hralign="center" o:hrstd="t" o:hr="t" fillcolor="#a0a0a0" stroked="f"/>
      </w:pict>
    </w:r>
  </w:p>
  <w:p w14:paraId="419CBC4D" w14:textId="33F5D83B" w:rsidR="00D13483" w:rsidRPr="002C69DD" w:rsidRDefault="00FF6E19" w:rsidP="002C69DD">
    <w:pPr>
      <w:jc w:val="center"/>
      <w:rPr>
        <w:color w:val="999999"/>
        <w:sz w:val="20"/>
        <w:szCs w:val="20"/>
      </w:rPr>
    </w:pPr>
    <w:r>
      <w:rPr>
        <w:i/>
      </w:rPr>
      <w:t>We hope that you find this informative. Please contact us to discuss any matters further.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D0610" w14:textId="77777777" w:rsidR="004E0084" w:rsidRDefault="004E0084">
      <w:pPr>
        <w:spacing w:line="240" w:lineRule="auto"/>
      </w:pPr>
      <w:r>
        <w:separator/>
      </w:r>
    </w:p>
  </w:footnote>
  <w:footnote w:type="continuationSeparator" w:id="0">
    <w:p w14:paraId="5881B71E" w14:textId="77777777" w:rsidR="004E0084" w:rsidRDefault="004E00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A9A2" w14:textId="3A31273A" w:rsidR="00F15894" w:rsidRDefault="00F15894">
    <w:pPr>
      <w:pStyle w:val="Header"/>
    </w:pPr>
    <w:r>
      <w:rPr>
        <w:noProof/>
      </w:rPr>
      <mc:AlternateContent>
        <mc:Choice Requires="wps">
          <w:drawing>
            <wp:anchor distT="0" distB="0" distL="114300" distR="114300" simplePos="0" relativeHeight="251660288" behindDoc="0" locked="0" layoutInCell="1" allowOverlap="1" wp14:anchorId="7609F083" wp14:editId="71EA1D31">
              <wp:simplePos x="0" y="0"/>
              <wp:positionH relativeFrom="column">
                <wp:posOffset>387264</wp:posOffset>
              </wp:positionH>
              <wp:positionV relativeFrom="paragraph">
                <wp:posOffset>128621</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6ADFAAC0" w14:textId="77777777" w:rsidR="00F15894" w:rsidRPr="00A029C0" w:rsidRDefault="00F15894" w:rsidP="00F15894">
                          <w:pPr>
                            <w:spacing w:line="240" w:lineRule="auto"/>
                            <w:rPr>
                              <w:b/>
                              <w:i/>
                              <w:iCs/>
                              <w:color w:val="00AC94"/>
                              <w:sz w:val="32"/>
                              <w:szCs w:val="32"/>
                            </w:rPr>
                          </w:pPr>
                          <w:r w:rsidRPr="00A029C0">
                            <w:rPr>
                              <w:b/>
                              <w:i/>
                              <w:iCs/>
                              <w:color w:val="00AC94"/>
                              <w:sz w:val="32"/>
                              <w:szCs w:val="32"/>
                            </w:rPr>
                            <w:t>Your Logo Here</w:t>
                          </w:r>
                        </w:p>
                        <w:p w14:paraId="21A6888E" w14:textId="77777777" w:rsidR="00F15894" w:rsidRDefault="00F15894" w:rsidP="00F158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09F083" id="_x0000_t202" coordsize="21600,21600" o:spt="202" path="m,l,21600r21600,l21600,xe">
              <v:stroke joinstyle="miter"/>
              <v:path gradientshapeok="t" o:connecttype="rect"/>
            </v:shapetype>
            <v:shape id="Text Box 7" o:spid="_x0000_s1026" type="#_x0000_t202" style="position:absolute;margin-left:30.5pt;margin-top:10.15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" fillcolor="white [3201]" stroked="f" strokeweight=".5pt">
              <v:textbox>
                <w:txbxContent>
                  <w:p w14:paraId="6ADFAAC0" w14:textId="77777777" w:rsidR="00F15894" w:rsidRPr="00A029C0" w:rsidRDefault="00F15894" w:rsidP="00F15894">
                    <w:pPr>
                      <w:spacing w:line="240" w:lineRule="auto"/>
                      <w:rPr>
                        <w:b/>
                        <w:i/>
                        <w:iCs/>
                        <w:color w:val="00AC94"/>
                        <w:sz w:val="32"/>
                        <w:szCs w:val="32"/>
                      </w:rPr>
                    </w:pPr>
                    <w:r w:rsidRPr="00A029C0">
                      <w:rPr>
                        <w:b/>
                        <w:i/>
                        <w:iCs/>
                        <w:color w:val="00AC94"/>
                        <w:sz w:val="32"/>
                        <w:szCs w:val="32"/>
                      </w:rPr>
                      <w:t>Your Logo Here</w:t>
                    </w:r>
                  </w:p>
                  <w:p w14:paraId="21A6888E" w14:textId="77777777" w:rsidR="00F15894" w:rsidRDefault="00F15894" w:rsidP="00F15894"/>
                </w:txbxContent>
              </v:textbox>
            </v:shape>
          </w:pict>
        </mc:Fallback>
      </mc:AlternateContent>
    </w:r>
    <w:r>
      <w:rPr>
        <w:noProof/>
      </w:rPr>
      <w:drawing>
        <wp:anchor distT="114300" distB="114300" distL="114300" distR="114300" simplePos="0" relativeHeight="251659264" behindDoc="1" locked="0" layoutInCell="1" hidden="0" allowOverlap="1" wp14:anchorId="1F696EE2" wp14:editId="29841861">
          <wp:simplePos x="0" y="0"/>
          <wp:positionH relativeFrom="column">
            <wp:posOffset>4990453</wp:posOffset>
          </wp:positionH>
          <wp:positionV relativeFrom="paragraph">
            <wp:posOffset>-381635</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p>
  <w:p w14:paraId="6774C53B" w14:textId="5873FEC8" w:rsidR="00F15894" w:rsidRDefault="00F15894">
    <w:pPr>
      <w:pStyle w:val="Header"/>
    </w:pPr>
  </w:p>
  <w:p w14:paraId="1AA82C31" w14:textId="55C0EFFF" w:rsidR="00F15894" w:rsidRDefault="00F15894">
    <w:pPr>
      <w:pStyle w:val="Header"/>
    </w:pPr>
  </w:p>
  <w:p w14:paraId="57C9C678" w14:textId="77777777" w:rsidR="00F15894" w:rsidRDefault="00F15894">
    <w:pPr>
      <w:pStyle w:val="Header"/>
    </w:pPr>
  </w:p>
  <w:p w14:paraId="29D0D0BF" w14:textId="77777777" w:rsidR="00F15894" w:rsidRDefault="00F15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65350"/>
    <w:multiLevelType w:val="multilevel"/>
    <w:tmpl w:val="BB485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467CC3"/>
    <w:multiLevelType w:val="multilevel"/>
    <w:tmpl w:val="0E8C6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83975503">
    <w:abstractNumId w:val="0"/>
  </w:num>
  <w:num w:numId="2" w16cid:durableId="754324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483"/>
    <w:rsid w:val="0014489F"/>
    <w:rsid w:val="002A2C60"/>
    <w:rsid w:val="002C69DD"/>
    <w:rsid w:val="002D41E1"/>
    <w:rsid w:val="00341B56"/>
    <w:rsid w:val="00392962"/>
    <w:rsid w:val="0040567C"/>
    <w:rsid w:val="004166A2"/>
    <w:rsid w:val="004419E6"/>
    <w:rsid w:val="004A6625"/>
    <w:rsid w:val="004E0084"/>
    <w:rsid w:val="004E3D1F"/>
    <w:rsid w:val="005211DF"/>
    <w:rsid w:val="00527BE4"/>
    <w:rsid w:val="005C3612"/>
    <w:rsid w:val="00610088"/>
    <w:rsid w:val="00780C56"/>
    <w:rsid w:val="007E6EA0"/>
    <w:rsid w:val="00925F06"/>
    <w:rsid w:val="00936E92"/>
    <w:rsid w:val="00B57AFA"/>
    <w:rsid w:val="00C92F03"/>
    <w:rsid w:val="00D13483"/>
    <w:rsid w:val="00D3109C"/>
    <w:rsid w:val="00D32320"/>
    <w:rsid w:val="00D348CE"/>
    <w:rsid w:val="00DD517D"/>
    <w:rsid w:val="00DF52D2"/>
    <w:rsid w:val="00EA77CC"/>
    <w:rsid w:val="00F15894"/>
    <w:rsid w:val="00F54D39"/>
    <w:rsid w:val="00FF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CBC03"/>
  <w15:docId w15:val="{4EAC56ED-AE29-4CEE-83E4-347AFDB7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C3612"/>
    <w:pPr>
      <w:tabs>
        <w:tab w:val="center" w:pos="4680"/>
        <w:tab w:val="right" w:pos="9360"/>
      </w:tabs>
      <w:spacing w:line="240" w:lineRule="auto"/>
    </w:pPr>
  </w:style>
  <w:style w:type="character" w:customStyle="1" w:styleId="HeaderChar">
    <w:name w:val="Header Char"/>
    <w:basedOn w:val="DefaultParagraphFont"/>
    <w:link w:val="Header"/>
    <w:uiPriority w:val="99"/>
    <w:rsid w:val="005C3612"/>
  </w:style>
  <w:style w:type="paragraph" w:styleId="Footer">
    <w:name w:val="footer"/>
    <w:basedOn w:val="Normal"/>
    <w:link w:val="FooterChar"/>
    <w:uiPriority w:val="99"/>
    <w:unhideWhenUsed/>
    <w:rsid w:val="005C3612"/>
    <w:pPr>
      <w:tabs>
        <w:tab w:val="center" w:pos="4680"/>
        <w:tab w:val="right" w:pos="9360"/>
      </w:tabs>
      <w:spacing w:line="240" w:lineRule="auto"/>
    </w:pPr>
  </w:style>
  <w:style w:type="character" w:customStyle="1" w:styleId="FooterChar">
    <w:name w:val="Footer Char"/>
    <w:basedOn w:val="DefaultParagraphFont"/>
    <w:link w:val="Footer"/>
    <w:uiPriority w:val="99"/>
    <w:rsid w:val="005C3612"/>
  </w:style>
  <w:style w:type="paragraph" w:styleId="Revision">
    <w:name w:val="Revision"/>
    <w:hidden/>
    <w:uiPriority w:val="99"/>
    <w:semiHidden/>
    <w:rsid w:val="00DD517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3B6B2-2652-4ABD-B330-21BE9CE9B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b76c0-1824-44cf-98ae-b6d0c7a63fb1"/>
    <ds:schemaRef ds:uri="89852fe5-8403-4d71-98b1-3957e8d62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22D448-5A05-4323-878F-B0F5EE7ECF88}">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3.xml><?xml version="1.0" encoding="utf-8"?>
<ds:datastoreItem xmlns:ds="http://schemas.openxmlformats.org/officeDocument/2006/customXml" ds:itemID="{736294B3-E75E-4EDB-B221-04F631D76C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Gilbert-Smith</dc:creator>
  <cp:lastModifiedBy>Emma Gilbert-Smith</cp:lastModifiedBy>
  <cp:revision>5</cp:revision>
  <dcterms:created xsi:type="dcterms:W3CDTF">2025-02-06T19:18:00Z</dcterms:created>
  <dcterms:modified xsi:type="dcterms:W3CDTF">2025-02-10T11:06:00Z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